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7CBB" w14:textId="1CEAA8CF" w:rsidR="000E489F" w:rsidRDefault="000E489F" w:rsidP="000E489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89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D6630">
        <w:rPr>
          <w:rFonts w:ascii="Times New Roman" w:hAnsi="Times New Roman" w:cs="Times New Roman"/>
          <w:sz w:val="24"/>
          <w:szCs w:val="24"/>
        </w:rPr>
        <w:t>nr 1c do SIWZ</w:t>
      </w:r>
    </w:p>
    <w:p w14:paraId="2625C64B" w14:textId="77777777" w:rsidR="000E489F" w:rsidRDefault="000E489F" w:rsidP="00DF34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0E399" w14:textId="4C52F8F6" w:rsidR="00482C92" w:rsidRDefault="00482C92" w:rsidP="00DF3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0C8380D" w14:textId="77777777" w:rsidR="003E48A0" w:rsidRDefault="003E48A0" w:rsidP="00DF34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B31E5" w14:textId="7CEAE50B" w:rsidR="003E48A0" w:rsidRDefault="001D5293" w:rsidP="00FE40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293">
        <w:rPr>
          <w:rFonts w:ascii="Times New Roman" w:hAnsi="Times New Roman" w:cs="Times New Roman"/>
          <w:b/>
          <w:sz w:val="24"/>
          <w:szCs w:val="24"/>
        </w:rPr>
        <w:t>Przedmiotem zamówienia jest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="000E489F">
        <w:rPr>
          <w:rFonts w:ascii="Times New Roman" w:hAnsi="Times New Roman" w:cs="Times New Roman"/>
          <w:sz w:val="24"/>
          <w:szCs w:val="24"/>
        </w:rPr>
        <w:t>ekspertyzy pn.</w:t>
      </w:r>
      <w:r w:rsidR="00005FEB">
        <w:rPr>
          <w:rFonts w:ascii="Times New Roman" w:hAnsi="Times New Roman" w:cs="Times New Roman"/>
          <w:sz w:val="24"/>
          <w:szCs w:val="24"/>
        </w:rPr>
        <w:t xml:space="preserve"> „</w:t>
      </w:r>
      <w:r w:rsidR="00005FEB" w:rsidRPr="00005FEB">
        <w:rPr>
          <w:rFonts w:ascii="Times New Roman" w:hAnsi="Times New Roman" w:cs="Times New Roman"/>
          <w:sz w:val="24"/>
          <w:szCs w:val="24"/>
        </w:rPr>
        <w:t>Monitoring siedlisk przyrodniczych w obszarze Natura 2000 Jezioro Gopło PLH040007</w:t>
      </w:r>
      <w:r w:rsidR="00005FEB">
        <w:rPr>
          <w:rFonts w:ascii="Times New Roman" w:hAnsi="Times New Roman" w:cs="Times New Roman"/>
          <w:sz w:val="24"/>
          <w:szCs w:val="24"/>
        </w:rPr>
        <w:t>”</w:t>
      </w:r>
    </w:p>
    <w:p w14:paraId="3A5622F7" w14:textId="77777777" w:rsidR="00FE40C6" w:rsidRPr="00FE40C6" w:rsidRDefault="00FE40C6" w:rsidP="00FE40C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88327A" w14:textId="3B82B986" w:rsidR="001D5293" w:rsidRPr="0002358E" w:rsidRDefault="001D5293" w:rsidP="001D52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090">
        <w:rPr>
          <w:rFonts w:ascii="Times New Roman" w:hAnsi="Times New Roman" w:cs="Times New Roman"/>
          <w:b/>
          <w:sz w:val="24"/>
          <w:szCs w:val="24"/>
        </w:rPr>
        <w:t>Zak</w:t>
      </w:r>
      <w:r>
        <w:rPr>
          <w:rFonts w:ascii="Times New Roman" w:hAnsi="Times New Roman" w:cs="Times New Roman"/>
          <w:b/>
          <w:sz w:val="24"/>
          <w:szCs w:val="24"/>
        </w:rPr>
        <w:t>res monitoringu przedstawia poniższa tabela:</w:t>
      </w:r>
    </w:p>
    <w:p w14:paraId="21140E04" w14:textId="77777777" w:rsidR="0002358E" w:rsidRPr="0002358E" w:rsidRDefault="0002358E" w:rsidP="000235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15" w:type="dxa"/>
        <w:tblLook w:val="04A0" w:firstRow="1" w:lastRow="0" w:firstColumn="1" w:lastColumn="0" w:noHBand="0" w:noVBand="1"/>
      </w:tblPr>
      <w:tblGrid>
        <w:gridCol w:w="546"/>
        <w:gridCol w:w="1097"/>
        <w:gridCol w:w="4046"/>
        <w:gridCol w:w="1483"/>
        <w:gridCol w:w="1843"/>
      </w:tblGrid>
      <w:tr w:rsidR="0068572D" w:rsidRPr="00EE166D" w14:paraId="78A0EADE" w14:textId="77777777" w:rsidTr="00B30B9C">
        <w:trPr>
          <w:trHeight w:val="1386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5053682" w14:textId="77777777" w:rsidR="0068572D" w:rsidRPr="00EE166D" w:rsidRDefault="0068572D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  <w:hideMark/>
          </w:tcPr>
          <w:p w14:paraId="5408D7F1" w14:textId="77777777" w:rsidR="0068572D" w:rsidRPr="00EE166D" w:rsidRDefault="0068572D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siedliska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  <w:hideMark/>
          </w:tcPr>
          <w:p w14:paraId="725113A9" w14:textId="77777777" w:rsidR="0068572D" w:rsidRPr="00EE166D" w:rsidRDefault="0068572D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siedliska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9C8D971" w14:textId="77777777" w:rsidR="00DF6609" w:rsidRDefault="00DF6609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Lokalizacja/</w:t>
            </w:r>
          </w:p>
          <w:p w14:paraId="2B6C35CE" w14:textId="48644571" w:rsidR="0068572D" w:rsidRPr="00EE166D" w:rsidRDefault="00DF6609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14:paraId="7158D99A" w14:textId="77777777" w:rsidR="0068572D" w:rsidRPr="00EE166D" w:rsidRDefault="0068572D" w:rsidP="00104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Lokalizacja </w:t>
            </w:r>
            <w:r w:rsidRPr="001C364B">
              <w:rPr>
                <w:rFonts w:ascii="Times New Roman" w:hAnsi="Times New Roman" w:cs="Times New Roman"/>
                <w:sz w:val="20"/>
                <w:szCs w:val="20"/>
              </w:rPr>
              <w:t>(współrzędne geograficzne</w:t>
            </w:r>
            <w:r w:rsidR="001C364B" w:rsidRPr="001C364B">
              <w:rPr>
                <w:rFonts w:ascii="Times New Roman" w:hAnsi="Times New Roman" w:cs="Times New Roman"/>
                <w:sz w:val="20"/>
                <w:szCs w:val="20"/>
              </w:rPr>
              <w:t xml:space="preserve"> środka </w:t>
            </w:r>
            <w:proofErr w:type="spellStart"/>
            <w:r w:rsidR="001C364B" w:rsidRPr="001C364B">
              <w:rPr>
                <w:rFonts w:ascii="Times New Roman" w:hAnsi="Times New Roman" w:cs="Times New Roman"/>
                <w:sz w:val="20"/>
                <w:szCs w:val="20"/>
              </w:rPr>
              <w:t>transektu</w:t>
            </w:r>
            <w:proofErr w:type="spellEnd"/>
            <w:r w:rsidRPr="001C3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572D" w:rsidRPr="00EE166D" w14:paraId="1C8E387A" w14:textId="77777777" w:rsidTr="00B30B9C">
        <w:trPr>
          <w:trHeight w:hRule="exact" w:val="878"/>
        </w:trPr>
        <w:tc>
          <w:tcPr>
            <w:tcW w:w="599" w:type="dxa"/>
            <w:vAlign w:val="center"/>
          </w:tcPr>
          <w:p w14:paraId="505F45A7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noWrap/>
            <w:vAlign w:val="center"/>
          </w:tcPr>
          <w:p w14:paraId="71FFED02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046" w:type="dxa"/>
            <w:noWrap/>
            <w:vAlign w:val="center"/>
          </w:tcPr>
          <w:p w14:paraId="023461A9" w14:textId="77777777" w:rsidR="0068572D" w:rsidRPr="00B30B9C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C">
              <w:rPr>
                <w:rFonts w:ascii="Times New Roman" w:eastAsia="Times New Roman" w:hAnsi="Times New Roman"/>
                <w:lang w:eastAsia="pl-PL"/>
              </w:rPr>
              <w:t xml:space="preserve">Starorzecza i naturalne eutroficzne zbiorniki wodne ze zbiorowiskami z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Nympheion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Potamion</w:t>
            </w:r>
            <w:proofErr w:type="spellEnd"/>
          </w:p>
        </w:tc>
        <w:tc>
          <w:tcPr>
            <w:tcW w:w="1430" w:type="dxa"/>
            <w:vAlign w:val="center"/>
          </w:tcPr>
          <w:p w14:paraId="2E9354A8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76B7" w14:textId="77777777" w:rsidR="0068572D" w:rsidRDefault="0068572D" w:rsidP="0010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455879,15, X: 524831,53</w:t>
            </w:r>
          </w:p>
        </w:tc>
      </w:tr>
      <w:tr w:rsidR="0068572D" w:rsidRPr="00EE166D" w14:paraId="7E9F1DE0" w14:textId="77777777" w:rsidTr="00B30B9C">
        <w:trPr>
          <w:trHeight w:hRule="exact" w:val="991"/>
        </w:trPr>
        <w:tc>
          <w:tcPr>
            <w:tcW w:w="599" w:type="dxa"/>
            <w:vAlign w:val="center"/>
          </w:tcPr>
          <w:p w14:paraId="17196CAD" w14:textId="77777777" w:rsidR="0068572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noWrap/>
            <w:vAlign w:val="center"/>
          </w:tcPr>
          <w:p w14:paraId="456ADFD8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046" w:type="dxa"/>
            <w:noWrap/>
            <w:vAlign w:val="center"/>
          </w:tcPr>
          <w:p w14:paraId="301A47BF" w14:textId="77777777" w:rsidR="0068572D" w:rsidRPr="00B30B9C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C">
              <w:rPr>
                <w:rFonts w:ascii="Times New Roman" w:eastAsia="Times New Roman" w:hAnsi="Times New Roman"/>
                <w:lang w:eastAsia="pl-PL"/>
              </w:rPr>
              <w:t xml:space="preserve">Starorzecza i naturalne eutroficzne zbiorniki wodne ze zbiorowiskami z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Nympheion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Potamion</w:t>
            </w:r>
            <w:proofErr w:type="spellEnd"/>
          </w:p>
        </w:tc>
        <w:tc>
          <w:tcPr>
            <w:tcW w:w="1430" w:type="dxa"/>
            <w:vAlign w:val="center"/>
          </w:tcPr>
          <w:p w14:paraId="7B3F41E6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Lubstówek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1AC0" w14:textId="77777777" w:rsidR="0068572D" w:rsidRDefault="0068572D" w:rsidP="0010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454992,60, X: 518645,04</w:t>
            </w:r>
          </w:p>
        </w:tc>
      </w:tr>
      <w:tr w:rsidR="0068572D" w:rsidRPr="00EE166D" w14:paraId="25A63810" w14:textId="77777777" w:rsidTr="00B30B9C">
        <w:trPr>
          <w:trHeight w:hRule="exact" w:val="567"/>
        </w:trPr>
        <w:tc>
          <w:tcPr>
            <w:tcW w:w="599" w:type="dxa"/>
            <w:vAlign w:val="center"/>
          </w:tcPr>
          <w:p w14:paraId="394A0A52" w14:textId="77777777" w:rsidR="0068572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noWrap/>
            <w:vAlign w:val="center"/>
          </w:tcPr>
          <w:p w14:paraId="687AADA6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4046" w:type="dxa"/>
            <w:noWrap/>
            <w:vAlign w:val="center"/>
          </w:tcPr>
          <w:p w14:paraId="4564AC8B" w14:textId="77777777" w:rsidR="0068572D" w:rsidRPr="00EE166D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Ciepłolubne, śródlądowe murawy </w:t>
            </w:r>
            <w:proofErr w:type="spellStart"/>
            <w:r w:rsidRPr="00833273">
              <w:rPr>
                <w:rFonts w:ascii="Times New Roman" w:eastAsia="Times New Roman" w:hAnsi="Times New Roman"/>
                <w:lang w:eastAsia="pl-PL"/>
              </w:rPr>
              <w:t>napiaskowe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Koelerion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glaucae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423C3846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Jeziora Wielkie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9EDD" w14:textId="77777777" w:rsidR="0068572D" w:rsidRDefault="0068572D" w:rsidP="0010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450242,77, X: 519443,68</w:t>
            </w:r>
          </w:p>
        </w:tc>
      </w:tr>
      <w:tr w:rsidR="0068572D" w:rsidRPr="00EE166D" w14:paraId="324B3B2F" w14:textId="77777777" w:rsidTr="00B30B9C">
        <w:trPr>
          <w:trHeight w:hRule="exact" w:val="567"/>
        </w:trPr>
        <w:tc>
          <w:tcPr>
            <w:tcW w:w="599" w:type="dxa"/>
            <w:vAlign w:val="center"/>
          </w:tcPr>
          <w:p w14:paraId="74C184FE" w14:textId="77777777" w:rsidR="0068572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center"/>
          </w:tcPr>
          <w:p w14:paraId="3F17F38B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6120</w:t>
            </w:r>
          </w:p>
        </w:tc>
        <w:tc>
          <w:tcPr>
            <w:tcW w:w="4046" w:type="dxa"/>
            <w:noWrap/>
            <w:vAlign w:val="center"/>
          </w:tcPr>
          <w:p w14:paraId="14E6EB4C" w14:textId="77777777" w:rsidR="0068572D" w:rsidRPr="00EE166D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Ciepłolubne, śródlądowe murawy </w:t>
            </w:r>
            <w:proofErr w:type="spellStart"/>
            <w:r w:rsidRPr="00833273">
              <w:rPr>
                <w:rFonts w:ascii="Times New Roman" w:eastAsia="Times New Roman" w:hAnsi="Times New Roman"/>
                <w:lang w:eastAsia="pl-PL"/>
              </w:rPr>
              <w:t>napiaskowe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Koelerion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glaucae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79DD873E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Przewóz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3E0C" w14:textId="77777777" w:rsidR="0068572D" w:rsidRDefault="0068572D" w:rsidP="0010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458690,76, X: 511953,39</w:t>
            </w:r>
          </w:p>
        </w:tc>
      </w:tr>
      <w:tr w:rsidR="0068572D" w:rsidRPr="00EE166D" w14:paraId="6BCBC7FC" w14:textId="77777777" w:rsidTr="00B30B9C">
        <w:trPr>
          <w:trHeight w:hRule="exact" w:val="1135"/>
        </w:trPr>
        <w:tc>
          <w:tcPr>
            <w:tcW w:w="599" w:type="dxa"/>
            <w:vAlign w:val="center"/>
          </w:tcPr>
          <w:p w14:paraId="0B2A5856" w14:textId="77777777" w:rsidR="0068572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noWrap/>
            <w:vAlign w:val="center"/>
          </w:tcPr>
          <w:p w14:paraId="728BA20C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4046" w:type="dxa"/>
            <w:noWrap/>
            <w:vAlign w:val="center"/>
          </w:tcPr>
          <w:p w14:paraId="71D49926" w14:textId="77777777" w:rsidR="0068572D" w:rsidRPr="00EE166D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73">
              <w:rPr>
                <w:rFonts w:ascii="Times New Roman" w:eastAsia="Times New Roman" w:hAnsi="Times New Roman"/>
                <w:lang w:eastAsia="pl-PL"/>
              </w:rPr>
              <w:t>Murawy kserotermiczne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Festuco-Brometea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i ciepłolubne murawy z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Asplenion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septentrionalis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Festucion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pallentis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04042B23" w14:textId="77777777" w:rsidR="0068572D" w:rsidRPr="00EE166D" w:rsidRDefault="0068572D" w:rsidP="001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Mietlica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995" w14:textId="77777777" w:rsidR="0068572D" w:rsidRDefault="0068572D" w:rsidP="00104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458085,23, X: 519642,04</w:t>
            </w:r>
          </w:p>
        </w:tc>
      </w:tr>
      <w:tr w:rsidR="00B30B9C" w:rsidRPr="00EE166D" w14:paraId="6909B42E" w14:textId="77777777" w:rsidTr="00B30B9C">
        <w:trPr>
          <w:trHeight w:hRule="exact" w:val="995"/>
        </w:trPr>
        <w:tc>
          <w:tcPr>
            <w:tcW w:w="599" w:type="dxa"/>
            <w:vAlign w:val="center"/>
          </w:tcPr>
          <w:p w14:paraId="03C40D1B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noWrap/>
            <w:vAlign w:val="center"/>
            <w:hideMark/>
          </w:tcPr>
          <w:p w14:paraId="13377058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4046" w:type="dxa"/>
            <w:noWrap/>
            <w:vAlign w:val="center"/>
            <w:hideMark/>
          </w:tcPr>
          <w:p w14:paraId="50DDA7E6" w14:textId="77777777" w:rsidR="00B30B9C" w:rsidRPr="00EE166D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73">
              <w:rPr>
                <w:rFonts w:ascii="Times New Roman" w:eastAsia="Times New Roman" w:hAnsi="Times New Roman"/>
                <w:lang w:eastAsia="pl-PL"/>
              </w:rPr>
              <w:t>Murawy kserotermiczne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Festuco-Brometea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i ciepłolubne murawy z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Asplenion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septentrionalis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Festucion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pallentis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627F0AC7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Przewóz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788" w14:textId="77777777" w:rsidR="00B30B9C" w:rsidRDefault="00B30B9C" w:rsidP="00B3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458787,52, X: 513601,67</w:t>
            </w:r>
          </w:p>
        </w:tc>
      </w:tr>
      <w:tr w:rsidR="00B30B9C" w:rsidRPr="00EE166D" w14:paraId="44A61121" w14:textId="77777777" w:rsidTr="00B30B9C">
        <w:trPr>
          <w:trHeight w:hRule="exact" w:val="853"/>
        </w:trPr>
        <w:tc>
          <w:tcPr>
            <w:tcW w:w="599" w:type="dxa"/>
            <w:vAlign w:val="center"/>
          </w:tcPr>
          <w:p w14:paraId="34523881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noWrap/>
            <w:vAlign w:val="center"/>
            <w:hideMark/>
          </w:tcPr>
          <w:p w14:paraId="514E8700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6430</w:t>
            </w:r>
          </w:p>
        </w:tc>
        <w:tc>
          <w:tcPr>
            <w:tcW w:w="4046" w:type="dxa"/>
            <w:noWrap/>
            <w:vAlign w:val="center"/>
            <w:hideMark/>
          </w:tcPr>
          <w:p w14:paraId="4C9DF88B" w14:textId="77777777" w:rsidR="00B30B9C" w:rsidRPr="00EE166D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73">
              <w:rPr>
                <w:rFonts w:ascii="Times New Roman" w:eastAsia="Times New Roman" w:hAnsi="Times New Roman"/>
                <w:lang w:eastAsia="pl-PL"/>
              </w:rPr>
              <w:t>Ziołorośla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 górskie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Adenostylion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alliariae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 i </w:t>
            </w:r>
            <w:proofErr w:type="spellStart"/>
            <w:r w:rsidRPr="00833273">
              <w:rPr>
                <w:rFonts w:ascii="Times New Roman" w:eastAsia="Times New Roman" w:hAnsi="Times New Roman"/>
                <w:lang w:eastAsia="pl-PL"/>
              </w:rPr>
              <w:t>ziołorośla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 xml:space="preserve"> nadrzeczne (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Convolvuletalia</w:t>
            </w:r>
            <w:proofErr w:type="spellEnd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833273">
              <w:rPr>
                <w:rFonts w:ascii="Times New Roman" w:eastAsia="Times New Roman" w:hAnsi="Times New Roman"/>
                <w:i/>
                <w:lang w:eastAsia="pl-PL"/>
              </w:rPr>
              <w:t>sepium</w:t>
            </w:r>
            <w:proofErr w:type="spellEnd"/>
            <w:r w:rsidRPr="0083327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6354DBC3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Potrzymiech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BDED" w14:textId="77777777" w:rsidR="00B30B9C" w:rsidRDefault="00B30B9C" w:rsidP="00B3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456113,79, X: 523497,28</w:t>
            </w:r>
          </w:p>
        </w:tc>
      </w:tr>
      <w:tr w:rsidR="00B30B9C" w:rsidRPr="00EE166D" w14:paraId="0362CAB1" w14:textId="77777777" w:rsidTr="00B30B9C">
        <w:trPr>
          <w:trHeight w:hRule="exact" w:val="851"/>
        </w:trPr>
        <w:tc>
          <w:tcPr>
            <w:tcW w:w="599" w:type="dxa"/>
            <w:vAlign w:val="center"/>
          </w:tcPr>
          <w:p w14:paraId="31EBE546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noWrap/>
            <w:vAlign w:val="center"/>
            <w:hideMark/>
          </w:tcPr>
          <w:p w14:paraId="41C77071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</w:t>
            </w:r>
          </w:p>
        </w:tc>
        <w:tc>
          <w:tcPr>
            <w:tcW w:w="4046" w:type="dxa"/>
            <w:noWrap/>
            <w:vAlign w:val="center"/>
            <w:hideMark/>
          </w:tcPr>
          <w:p w14:paraId="1B3179DE" w14:textId="77777777" w:rsidR="00B30B9C" w:rsidRPr="00B30B9C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C">
              <w:rPr>
                <w:rFonts w:ascii="Times New Roman" w:eastAsia="Times New Roman" w:hAnsi="Times New Roman"/>
                <w:lang w:eastAsia="pl-PL"/>
              </w:rPr>
              <w:t xml:space="preserve">Torfowiska </w:t>
            </w:r>
            <w:proofErr w:type="spellStart"/>
            <w:r w:rsidRPr="00B30B9C">
              <w:rPr>
                <w:rFonts w:ascii="Times New Roman" w:eastAsia="Times New Roman" w:hAnsi="Times New Roman"/>
                <w:lang w:eastAsia="pl-PL"/>
              </w:rPr>
              <w:t>nakredowe</w:t>
            </w:r>
            <w:proofErr w:type="spellEnd"/>
            <w:r w:rsidRPr="00B30B9C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Cladietum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marisci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Caricetum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buxbaumii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Schoenetum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nigricantis</w:t>
            </w:r>
            <w:proofErr w:type="spellEnd"/>
            <w:r w:rsidRPr="00B30B9C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541CF2D1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Potrzymiech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14:paraId="759C2C77" w14:textId="77777777" w:rsidR="00B30B9C" w:rsidRPr="0014153F" w:rsidRDefault="00B30B9C" w:rsidP="00B3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455717,77, X: 525442,71</w:t>
            </w:r>
          </w:p>
        </w:tc>
      </w:tr>
      <w:tr w:rsidR="00B30B9C" w:rsidRPr="00EE166D" w14:paraId="0DFF967E" w14:textId="77777777" w:rsidTr="00B30B9C">
        <w:trPr>
          <w:trHeight w:hRule="exact" w:val="835"/>
        </w:trPr>
        <w:tc>
          <w:tcPr>
            <w:tcW w:w="599" w:type="dxa"/>
            <w:vAlign w:val="center"/>
          </w:tcPr>
          <w:p w14:paraId="0006ACB7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noWrap/>
            <w:vAlign w:val="center"/>
          </w:tcPr>
          <w:p w14:paraId="1B1C95BD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</w:t>
            </w:r>
          </w:p>
        </w:tc>
        <w:tc>
          <w:tcPr>
            <w:tcW w:w="4046" w:type="dxa"/>
            <w:noWrap/>
            <w:vAlign w:val="center"/>
          </w:tcPr>
          <w:p w14:paraId="32A9426A" w14:textId="77777777" w:rsidR="00B30B9C" w:rsidRPr="00B30B9C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C">
              <w:rPr>
                <w:rFonts w:ascii="Times New Roman" w:eastAsia="Times New Roman" w:hAnsi="Times New Roman"/>
                <w:lang w:eastAsia="pl-PL"/>
              </w:rPr>
              <w:t>Grąd środkowoeuropejski i </w:t>
            </w:r>
            <w:proofErr w:type="spellStart"/>
            <w:r w:rsidRPr="00B30B9C">
              <w:rPr>
                <w:rFonts w:ascii="Times New Roman" w:eastAsia="Times New Roman" w:hAnsi="Times New Roman"/>
                <w:lang w:eastAsia="pl-PL"/>
              </w:rPr>
              <w:t>subkontynentalny</w:t>
            </w:r>
            <w:proofErr w:type="spellEnd"/>
            <w:r w:rsidRPr="00B30B9C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Galio-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Carpinetum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Tilio-Carpinetum</w:t>
            </w:r>
            <w:proofErr w:type="spellEnd"/>
            <w:r w:rsidRPr="00B30B9C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226599F3" w14:textId="77777777" w:rsidR="00B30B9C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Popowo</w:t>
            </w:r>
          </w:p>
        </w:tc>
        <w:tc>
          <w:tcPr>
            <w:tcW w:w="1843" w:type="dxa"/>
            <w:noWrap/>
            <w:vAlign w:val="center"/>
          </w:tcPr>
          <w:p w14:paraId="2ECFD705" w14:textId="77777777" w:rsidR="00B30B9C" w:rsidRDefault="00B30B9C" w:rsidP="00B3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457662,27, X: 523642,70</w:t>
            </w:r>
          </w:p>
          <w:p w14:paraId="7678A930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9C" w:rsidRPr="00EE166D" w14:paraId="5A598B2B" w14:textId="77777777" w:rsidTr="00B30B9C">
        <w:trPr>
          <w:trHeight w:hRule="exact" w:val="564"/>
        </w:trPr>
        <w:tc>
          <w:tcPr>
            <w:tcW w:w="599" w:type="dxa"/>
            <w:vAlign w:val="center"/>
          </w:tcPr>
          <w:p w14:paraId="213D2396" w14:textId="77777777" w:rsidR="00B30B9C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noWrap/>
            <w:vAlign w:val="center"/>
          </w:tcPr>
          <w:p w14:paraId="418AF3BB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91I0</w:t>
            </w:r>
          </w:p>
        </w:tc>
        <w:tc>
          <w:tcPr>
            <w:tcW w:w="4046" w:type="dxa"/>
            <w:noWrap/>
            <w:vAlign w:val="center"/>
          </w:tcPr>
          <w:p w14:paraId="0AB5164B" w14:textId="77777777" w:rsidR="00B30B9C" w:rsidRPr="00B30B9C" w:rsidRDefault="00B30B9C" w:rsidP="00B3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C">
              <w:rPr>
                <w:rFonts w:ascii="Times New Roman" w:eastAsia="Times New Roman" w:hAnsi="Times New Roman"/>
                <w:lang w:eastAsia="pl-PL"/>
              </w:rPr>
              <w:t>Ciepłolubne dąbrowy (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Quercetalia</w:t>
            </w:r>
            <w:proofErr w:type="spellEnd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proofErr w:type="spellStart"/>
            <w:r w:rsidRPr="00B30B9C">
              <w:rPr>
                <w:rFonts w:ascii="Times New Roman" w:eastAsia="Times New Roman" w:hAnsi="Times New Roman"/>
                <w:i/>
                <w:lang w:eastAsia="pl-PL"/>
              </w:rPr>
              <w:t>pubescenti-petraeae</w:t>
            </w:r>
            <w:proofErr w:type="spellEnd"/>
            <w:r w:rsidRPr="00B30B9C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vAlign w:val="center"/>
          </w:tcPr>
          <w:p w14:paraId="6024E80D" w14:textId="77777777" w:rsidR="00B30B9C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Jeziora Wielkie</w:t>
            </w:r>
          </w:p>
        </w:tc>
        <w:tc>
          <w:tcPr>
            <w:tcW w:w="1843" w:type="dxa"/>
            <w:noWrap/>
            <w:vAlign w:val="center"/>
          </w:tcPr>
          <w:p w14:paraId="02E72C65" w14:textId="77777777" w:rsidR="00B30B9C" w:rsidRDefault="00B30B9C" w:rsidP="00B30B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448901,98, X: 518185,38</w:t>
            </w:r>
          </w:p>
          <w:p w14:paraId="799EC0DB" w14:textId="77777777" w:rsidR="00B30B9C" w:rsidRPr="00EE166D" w:rsidRDefault="00B30B9C" w:rsidP="00B3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CD9E5" w14:textId="5A61DB05" w:rsidR="003E48A0" w:rsidRDefault="003E48A0" w:rsidP="003E48A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1C2AC0" w14:textId="0EA10316" w:rsidR="00005FEB" w:rsidRDefault="00005FEB" w:rsidP="003E48A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0015DE" w14:textId="6853CC4C" w:rsidR="00005FEB" w:rsidRDefault="00005FEB" w:rsidP="003E48A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D179F7" w14:textId="77777777" w:rsidR="00005FEB" w:rsidRDefault="00005FEB" w:rsidP="003E48A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8007E7" w14:textId="3420F4D7" w:rsidR="00DF34B8" w:rsidRDefault="003E48A0" w:rsidP="003E48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8A0">
        <w:rPr>
          <w:rFonts w:ascii="Times New Roman" w:hAnsi="Times New Roman" w:cs="Times New Roman"/>
          <w:b/>
          <w:sz w:val="24"/>
          <w:szCs w:val="24"/>
        </w:rPr>
        <w:t xml:space="preserve">Metodyka </w:t>
      </w:r>
      <w:r w:rsidR="001D4C73">
        <w:rPr>
          <w:rFonts w:ascii="Times New Roman" w:hAnsi="Times New Roman" w:cs="Times New Roman"/>
          <w:b/>
          <w:sz w:val="24"/>
          <w:szCs w:val="24"/>
        </w:rPr>
        <w:t xml:space="preserve">i zakres </w:t>
      </w:r>
      <w:r w:rsidRPr="003E48A0">
        <w:rPr>
          <w:rFonts w:ascii="Times New Roman" w:hAnsi="Times New Roman" w:cs="Times New Roman"/>
          <w:b/>
          <w:sz w:val="24"/>
          <w:szCs w:val="24"/>
        </w:rPr>
        <w:t>prac</w:t>
      </w:r>
      <w:r w:rsidR="001D4C73">
        <w:rPr>
          <w:rFonts w:ascii="Times New Roman" w:hAnsi="Times New Roman" w:cs="Times New Roman"/>
          <w:b/>
          <w:sz w:val="24"/>
          <w:szCs w:val="24"/>
        </w:rPr>
        <w:t>:</w:t>
      </w:r>
    </w:p>
    <w:p w14:paraId="77BBD6FF" w14:textId="77777777" w:rsidR="003E48A0" w:rsidRDefault="003E48A0" w:rsidP="003E48A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33E9AC" w14:textId="72DED21A" w:rsidR="001D4C73" w:rsidRPr="008D10D1" w:rsidRDefault="00BB613E" w:rsidP="008D10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3E">
        <w:rPr>
          <w:rFonts w:ascii="Times New Roman" w:hAnsi="Times New Roman" w:cs="Times New Roman"/>
          <w:sz w:val="24"/>
          <w:szCs w:val="24"/>
        </w:rPr>
        <w:t>Monitoring stanu siedlisk należy przeprowadzić w oparciu o metodyki stosowane przez Główny Inspektorat Ochrony Środowiska (zwany dalej GIOŚ) w ramach Państwowego Monitoringu Środowiska opublikowanymi w pracach dostępnych pod adresem internetowym</w:t>
      </w:r>
      <w:r w:rsidR="00573530">
        <w:rPr>
          <w:rFonts w:ascii="Times New Roman" w:hAnsi="Times New Roman" w:cs="Times New Roman"/>
          <w:sz w:val="24"/>
          <w:szCs w:val="24"/>
        </w:rPr>
        <w:t xml:space="preserve"> </w:t>
      </w:r>
      <w:r w:rsidRPr="00BB613E">
        <w:rPr>
          <w:rFonts w:ascii="Times New Roman" w:hAnsi="Times New Roman" w:cs="Times New Roman"/>
          <w:sz w:val="24"/>
          <w:szCs w:val="24"/>
        </w:rPr>
        <w:t>http://siedliska.gios.gov.pl/pl/publikacje/przewodniki-metodyczne</w:t>
      </w:r>
      <w:r w:rsidR="00391CB6" w:rsidRPr="00092FAC">
        <w:rPr>
          <w:rFonts w:ascii="Times New Roman" w:hAnsi="Times New Roman" w:cs="Times New Roman"/>
          <w:sz w:val="24"/>
          <w:szCs w:val="24"/>
        </w:rPr>
        <w:t xml:space="preserve"> (wszystkie parametry i wskaźniki)</w:t>
      </w:r>
      <w:r w:rsidR="008D10D1">
        <w:rPr>
          <w:rFonts w:ascii="Times New Roman" w:hAnsi="Times New Roman" w:cs="Times New Roman"/>
          <w:sz w:val="24"/>
          <w:szCs w:val="24"/>
        </w:rPr>
        <w:t xml:space="preserve">, zgodnie z ustaleniami </w:t>
      </w:r>
      <w:r w:rsidR="008D10D1" w:rsidRPr="008D10D1">
        <w:rPr>
          <w:rFonts w:ascii="Times New Roman" w:hAnsi="Times New Roman" w:cs="Times New Roman"/>
          <w:sz w:val="24"/>
          <w:szCs w:val="24"/>
        </w:rPr>
        <w:t>Zarządzeni</w:t>
      </w:r>
      <w:r w:rsidR="008D10D1">
        <w:rPr>
          <w:rFonts w:ascii="Times New Roman" w:hAnsi="Times New Roman" w:cs="Times New Roman"/>
          <w:sz w:val="24"/>
          <w:szCs w:val="24"/>
        </w:rPr>
        <w:t>a</w:t>
      </w:r>
      <w:r w:rsidR="008D10D1" w:rsidRPr="008D10D1">
        <w:rPr>
          <w:rFonts w:ascii="Times New Roman" w:hAnsi="Times New Roman" w:cs="Times New Roman"/>
          <w:sz w:val="24"/>
          <w:szCs w:val="24"/>
        </w:rPr>
        <w:t xml:space="preserve"> Regionalnego Dyrektora Ochrony Środowiska w Bydgoszczy i Regionalnego Dyrektora Ochrony Środowiska w Poznaniu z dnia 18 marca 2014 r. w sprawie ustanowienia planu zadań ochronnych dla obszaru Natura 2000 Jezioro Gopło PLH040007</w:t>
      </w:r>
      <w:r w:rsidR="008D10D1" w:rsidRPr="008D10D1">
        <w:t xml:space="preserve"> </w:t>
      </w:r>
      <w:r w:rsidR="008D10D1">
        <w:t>(</w:t>
      </w:r>
      <w:r w:rsidR="008D10D1" w:rsidRPr="008D10D1">
        <w:rPr>
          <w:rFonts w:ascii="Times New Roman" w:hAnsi="Times New Roman" w:cs="Times New Roman"/>
          <w:sz w:val="24"/>
          <w:szCs w:val="24"/>
        </w:rPr>
        <w:t xml:space="preserve">Dz. Urz. Woj. Kuj-Pom. poz. 1086, z </w:t>
      </w:r>
      <w:proofErr w:type="spellStart"/>
      <w:r w:rsidR="008D10D1" w:rsidRPr="008D10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10D1" w:rsidRPr="008D10D1">
        <w:rPr>
          <w:rFonts w:ascii="Times New Roman" w:hAnsi="Times New Roman" w:cs="Times New Roman"/>
          <w:sz w:val="24"/>
          <w:szCs w:val="24"/>
        </w:rPr>
        <w:t xml:space="preserve">. </w:t>
      </w:r>
      <w:r w:rsidR="008D10D1">
        <w:rPr>
          <w:rFonts w:ascii="Times New Roman" w:hAnsi="Times New Roman" w:cs="Times New Roman"/>
          <w:sz w:val="24"/>
          <w:szCs w:val="24"/>
        </w:rPr>
        <w:t>z</w:t>
      </w:r>
      <w:r w:rsidR="008D10D1" w:rsidRPr="008D10D1">
        <w:rPr>
          <w:rFonts w:ascii="Times New Roman" w:hAnsi="Times New Roman" w:cs="Times New Roman"/>
          <w:sz w:val="24"/>
          <w:szCs w:val="24"/>
        </w:rPr>
        <w:t>m</w:t>
      </w:r>
      <w:r w:rsidR="008D10D1">
        <w:rPr>
          <w:rFonts w:ascii="Times New Roman" w:hAnsi="Times New Roman" w:cs="Times New Roman"/>
          <w:sz w:val="24"/>
          <w:szCs w:val="24"/>
        </w:rPr>
        <w:t>.).</w:t>
      </w:r>
    </w:p>
    <w:p w14:paraId="57358F92" w14:textId="43AED929" w:rsidR="00BB613E" w:rsidRDefault="00BB613E" w:rsidP="00BB6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3E">
        <w:rPr>
          <w:rFonts w:ascii="Times New Roman" w:hAnsi="Times New Roman" w:cs="Times New Roman"/>
          <w:sz w:val="24"/>
          <w:szCs w:val="24"/>
        </w:rPr>
        <w:t xml:space="preserve">W ramach prowadzonych prac należy zweryfikować zasięg występowania monitorowanych </w:t>
      </w:r>
      <w:r w:rsidR="00573530">
        <w:rPr>
          <w:rFonts w:ascii="Times New Roman" w:hAnsi="Times New Roman" w:cs="Times New Roman"/>
          <w:sz w:val="24"/>
          <w:szCs w:val="24"/>
        </w:rPr>
        <w:t xml:space="preserve">płatów </w:t>
      </w:r>
      <w:r w:rsidRPr="00BB613E">
        <w:rPr>
          <w:rFonts w:ascii="Times New Roman" w:hAnsi="Times New Roman" w:cs="Times New Roman"/>
          <w:sz w:val="24"/>
          <w:szCs w:val="24"/>
        </w:rPr>
        <w:t>siedlisk,  zagrożenia</w:t>
      </w:r>
      <w:r>
        <w:rPr>
          <w:rFonts w:ascii="Times New Roman" w:hAnsi="Times New Roman" w:cs="Times New Roman"/>
          <w:sz w:val="24"/>
          <w:szCs w:val="24"/>
        </w:rPr>
        <w:t xml:space="preserve"> oraz zaproponować modyfikację w zakresie działań ochronnych, jeżeli zostanie stwierdzona taka potrzeba. </w:t>
      </w:r>
    </w:p>
    <w:p w14:paraId="2D66EF85" w14:textId="77777777" w:rsidR="00BB613E" w:rsidRDefault="00BB613E" w:rsidP="00BB6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3E">
        <w:rPr>
          <w:rFonts w:ascii="Times New Roman" w:hAnsi="Times New Roman" w:cs="Times New Roman"/>
          <w:sz w:val="24"/>
          <w:szCs w:val="24"/>
        </w:rPr>
        <w:t>Na każdej powierzchni należy sporządzić dokumentacje fotograficzną przedstawiającą</w:t>
      </w:r>
    </w:p>
    <w:p w14:paraId="4F73B6A9" w14:textId="0330E8D4" w:rsidR="00BB613E" w:rsidRDefault="00BB613E" w:rsidP="00BB613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613E">
        <w:rPr>
          <w:rFonts w:ascii="Times New Roman" w:hAnsi="Times New Roman" w:cs="Times New Roman"/>
          <w:sz w:val="24"/>
          <w:szCs w:val="24"/>
        </w:rPr>
        <w:t xml:space="preserve">a)  w miarę możliwości widok na cały monitorowany płat siedliska (dla każdego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BB613E">
        <w:rPr>
          <w:rFonts w:ascii="Times New Roman" w:hAnsi="Times New Roman" w:cs="Times New Roman"/>
          <w:sz w:val="24"/>
          <w:szCs w:val="24"/>
        </w:rPr>
        <w:t xml:space="preserve"> </w:t>
      </w:r>
      <w:r w:rsidR="000138E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BB613E">
        <w:rPr>
          <w:rFonts w:ascii="Times New Roman" w:hAnsi="Times New Roman" w:cs="Times New Roman"/>
          <w:sz w:val="24"/>
          <w:szCs w:val="24"/>
        </w:rPr>
        <w:t>jedna fotografia)</w:t>
      </w:r>
    </w:p>
    <w:p w14:paraId="3D5757CB" w14:textId="00C98C19" w:rsidR="00BB613E" w:rsidRPr="00BB613E" w:rsidRDefault="00BB613E" w:rsidP="00BB613E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B613E">
        <w:rPr>
          <w:rFonts w:ascii="Times New Roman" w:hAnsi="Times New Roman" w:cs="Times New Roman"/>
          <w:sz w:val="24"/>
          <w:szCs w:val="24"/>
        </w:rPr>
        <w:t xml:space="preserve">b) powierzchnie wykonanych zdjęć fitosocjologicznych (dla każdego zdjęcia </w:t>
      </w:r>
      <w:r w:rsidR="000138E7">
        <w:rPr>
          <w:rFonts w:ascii="Times New Roman" w:hAnsi="Times New Roman" w:cs="Times New Roman"/>
          <w:sz w:val="24"/>
          <w:szCs w:val="24"/>
        </w:rPr>
        <w:t>minimum</w:t>
      </w:r>
      <w:r w:rsidR="000138E7" w:rsidRPr="00BB613E">
        <w:rPr>
          <w:rFonts w:ascii="Times New Roman" w:hAnsi="Times New Roman" w:cs="Times New Roman"/>
          <w:sz w:val="24"/>
          <w:szCs w:val="24"/>
        </w:rPr>
        <w:t xml:space="preserve"> </w:t>
      </w:r>
      <w:r w:rsidRPr="00BB613E">
        <w:rPr>
          <w:rFonts w:ascii="Times New Roman" w:hAnsi="Times New Roman" w:cs="Times New Roman"/>
          <w:sz w:val="24"/>
          <w:szCs w:val="24"/>
        </w:rPr>
        <w:t>jedna fotografia)</w:t>
      </w:r>
    </w:p>
    <w:p w14:paraId="54D454CC" w14:textId="31D7E9DC" w:rsidR="00BB613E" w:rsidRPr="009E4543" w:rsidRDefault="00BB613E" w:rsidP="00BB61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43">
        <w:rPr>
          <w:rFonts w:ascii="Times New Roman" w:hAnsi="Times New Roman" w:cs="Times New Roman"/>
          <w:sz w:val="24"/>
          <w:szCs w:val="24"/>
        </w:rPr>
        <w:t xml:space="preserve">Standard GIS: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4543">
        <w:rPr>
          <w:rFonts w:ascii="Times New Roman" w:hAnsi="Times New Roman" w:cs="Times New Roman"/>
          <w:sz w:val="24"/>
          <w:szCs w:val="24"/>
        </w:rPr>
        <w:t>ane o charakterze przestrzennym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8E7">
        <w:rPr>
          <w:rFonts w:ascii="Times New Roman" w:hAnsi="Times New Roman" w:cs="Times New Roman"/>
          <w:sz w:val="24"/>
          <w:szCs w:val="24"/>
        </w:rPr>
        <w:t>skorygowane granice płatów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4543">
        <w:rPr>
          <w:rFonts w:ascii="Times New Roman" w:hAnsi="Times New Roman" w:cs="Times New Roman"/>
          <w:sz w:val="24"/>
          <w:szCs w:val="24"/>
        </w:rPr>
        <w:t xml:space="preserve">, będące wynikiem prac, zostaną sporządzone w formie cyfrowych warstw wektorowych używanych w systemach informacji przestrzennej (GIS) zgodnie ze „Standardem wektorowych danych przestrzennych Generalnej Dyrekcji Ochrony Środowiska na potrzeby gromadzenia informacji o rozmieszczeniu chronionych gatunków, ich siedlisk oraz siedlisk przyrodniczych”, publikowanym na stronie: </w:t>
      </w:r>
      <w:hyperlink r:id="rId7" w:history="1">
        <w:r w:rsidRPr="009E4543">
          <w:rPr>
            <w:rStyle w:val="Hipercze"/>
            <w:rFonts w:ascii="Times New Roman" w:hAnsi="Times New Roman" w:cs="Times New Roman"/>
            <w:sz w:val="24"/>
            <w:szCs w:val="24"/>
          </w:rPr>
          <w:t>http://www.gdos.gov.pl/wytyczne-i-poradniki</w:t>
        </w:r>
      </w:hyperlink>
      <w:r w:rsidR="00573530">
        <w:rPr>
          <w:rFonts w:ascii="Times New Roman" w:hAnsi="Times New Roman" w:cs="Times New Roman"/>
          <w:sz w:val="24"/>
          <w:szCs w:val="24"/>
        </w:rPr>
        <w:t xml:space="preserve">, </w:t>
      </w:r>
      <w:r w:rsidR="00573530" w:rsidRPr="00573530">
        <w:rPr>
          <w:rFonts w:ascii="Times New Roman" w:hAnsi="Times New Roman" w:cs="Times New Roman"/>
        </w:rPr>
        <w:t>z modyfikacją dot. konieczności nadania identyfikatorów poszczególnych płatów.</w:t>
      </w:r>
      <w:r w:rsidR="00573530" w:rsidRPr="00573530">
        <w:t xml:space="preserve"> </w:t>
      </w:r>
      <w:r w:rsidRPr="009E4543">
        <w:rPr>
          <w:rFonts w:ascii="Times New Roman" w:hAnsi="Times New Roman" w:cs="Times New Roman"/>
          <w:sz w:val="24"/>
          <w:szCs w:val="24"/>
        </w:rPr>
        <w:t xml:space="preserve">Konieczne jest również utworzenie dodatkowych warstw, przedstawiających lokalizację </w:t>
      </w:r>
      <w:r>
        <w:rPr>
          <w:rFonts w:ascii="Times New Roman" w:hAnsi="Times New Roman" w:cs="Times New Roman"/>
          <w:sz w:val="24"/>
          <w:szCs w:val="24"/>
        </w:rPr>
        <w:t>zdjęć fitosocjologicznych:</w:t>
      </w:r>
    </w:p>
    <w:p w14:paraId="70C607EC" w14:textId="77777777" w:rsidR="00BB613E" w:rsidRPr="009E4543" w:rsidRDefault="00BB613E" w:rsidP="00BB61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43">
        <w:rPr>
          <w:rFonts w:ascii="Times New Roman" w:hAnsi="Times New Roman" w:cs="Times New Roman"/>
          <w:sz w:val="24"/>
          <w:szCs w:val="24"/>
        </w:rPr>
        <w:t>układ współrzędnych PL-1992 (EPSG: 2180);</w:t>
      </w:r>
    </w:p>
    <w:p w14:paraId="782AE590" w14:textId="77777777" w:rsidR="00BB613E" w:rsidRPr="009E4543" w:rsidRDefault="00BB613E" w:rsidP="00BB61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43">
        <w:rPr>
          <w:rFonts w:ascii="Times New Roman" w:hAnsi="Times New Roman" w:cs="Times New Roman"/>
          <w:sz w:val="24"/>
          <w:szCs w:val="24"/>
        </w:rPr>
        <w:t xml:space="preserve">format zapisu warstw wektorowych to ESRI </w:t>
      </w:r>
      <w:proofErr w:type="spellStart"/>
      <w:r w:rsidRPr="009E4543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9E4543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9E4543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9E4543">
        <w:rPr>
          <w:rFonts w:ascii="Times New Roman" w:hAnsi="Times New Roman" w:cs="Times New Roman"/>
          <w:sz w:val="24"/>
          <w:szCs w:val="24"/>
        </w:rPr>
        <w:t>);</w:t>
      </w:r>
    </w:p>
    <w:p w14:paraId="20B5B6D5" w14:textId="77777777" w:rsidR="00BB613E" w:rsidRPr="009E4543" w:rsidRDefault="00BB613E" w:rsidP="00BB613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43">
        <w:rPr>
          <w:rFonts w:ascii="Times New Roman" w:hAnsi="Times New Roman" w:cs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5B4B31B2" w14:textId="171A0C38" w:rsidR="00BB613E" w:rsidRPr="00573530" w:rsidRDefault="00BB613E" w:rsidP="005735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543">
        <w:rPr>
          <w:rFonts w:ascii="Times New Roman" w:hAnsi="Times New Roman" w:cs="Times New Roman"/>
          <w:sz w:val="24"/>
          <w:szCs w:val="24"/>
        </w:rPr>
        <w:t>Ekspertyzę należy sporządzić w dwóch egzemplarzach w wersji papierowej oraz elektronicznej (na płycie CD/DVD)</w:t>
      </w:r>
      <w:r w:rsidR="00573530">
        <w:rPr>
          <w:rFonts w:ascii="Times New Roman" w:hAnsi="Times New Roman" w:cs="Times New Roman"/>
          <w:sz w:val="24"/>
          <w:szCs w:val="24"/>
        </w:rPr>
        <w:t>.</w:t>
      </w:r>
    </w:p>
    <w:p w14:paraId="66D5A2CA" w14:textId="77777777" w:rsidR="001D4C73" w:rsidRDefault="001D4C73" w:rsidP="001D4C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26442E" w14:textId="5D537ADC" w:rsidR="000138E7" w:rsidRDefault="000138E7" w:rsidP="000138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47B">
        <w:rPr>
          <w:rFonts w:ascii="Times New Roman" w:hAnsi="Times New Roman" w:cs="Times New Roman"/>
          <w:b/>
          <w:bCs/>
          <w:sz w:val="24"/>
          <w:szCs w:val="24"/>
        </w:rPr>
        <w:t xml:space="preserve">Harmonogram prac: </w:t>
      </w:r>
    </w:p>
    <w:p w14:paraId="669D44CD" w14:textId="77777777" w:rsidR="00573530" w:rsidRDefault="00573530" w:rsidP="00573530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27B9D" w14:textId="7CABDCEE" w:rsidR="000138E7" w:rsidRPr="00D31F38" w:rsidRDefault="000138E7" w:rsidP="000138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F3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31F38">
        <w:rPr>
          <w:rFonts w:ascii="Times New Roman" w:hAnsi="Times New Roman" w:cs="Times New Roman"/>
          <w:sz w:val="24"/>
          <w:szCs w:val="24"/>
          <w:u w:val="single"/>
        </w:rPr>
        <w:t xml:space="preserve"> października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1F38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Pr="00D31F38">
        <w:rPr>
          <w:rFonts w:ascii="Times New Roman" w:hAnsi="Times New Roman" w:cs="Times New Roman"/>
          <w:sz w:val="24"/>
          <w:szCs w:val="24"/>
        </w:rPr>
        <w:t xml:space="preserve">. Wykonawca </w:t>
      </w:r>
      <w:r>
        <w:rPr>
          <w:rFonts w:ascii="Times New Roman" w:hAnsi="Times New Roman" w:cs="Times New Roman"/>
          <w:sz w:val="24"/>
          <w:szCs w:val="24"/>
        </w:rPr>
        <w:t>dostarczy</w:t>
      </w:r>
      <w:r w:rsidRPr="00D31F38">
        <w:rPr>
          <w:rFonts w:ascii="Times New Roman" w:hAnsi="Times New Roman" w:cs="Times New Roman"/>
          <w:sz w:val="24"/>
          <w:szCs w:val="24"/>
        </w:rPr>
        <w:t xml:space="preserve"> Zamawiającemu przygotowaną ekspertyzę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876229"/>
      <w:r>
        <w:rPr>
          <w:rFonts w:ascii="Times New Roman" w:hAnsi="Times New Roman" w:cs="Times New Roman"/>
          <w:sz w:val="24"/>
          <w:szCs w:val="24"/>
        </w:rPr>
        <w:t>(jeden egzemplarz w wersji papierowej i elektronicznej)</w:t>
      </w:r>
      <w:r w:rsidRPr="00D31F3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11D2D40" w14:textId="7C135326" w:rsidR="000138E7" w:rsidRDefault="000138E7" w:rsidP="000138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F38">
        <w:rPr>
          <w:rFonts w:ascii="Times New Roman" w:hAnsi="Times New Roman" w:cs="Times New Roman"/>
          <w:sz w:val="24"/>
          <w:szCs w:val="24"/>
        </w:rPr>
        <w:t xml:space="preserve">Zamawiają przedstawi uwagi do otrzymanej ekspertyzy do </w:t>
      </w:r>
      <w:r>
        <w:rPr>
          <w:rFonts w:ascii="Times New Roman" w:hAnsi="Times New Roman" w:cs="Times New Roman"/>
          <w:sz w:val="24"/>
          <w:szCs w:val="24"/>
        </w:rPr>
        <w:t>15 października 2021 r.</w:t>
      </w:r>
    </w:p>
    <w:p w14:paraId="275DA35A" w14:textId="249CB1C2" w:rsidR="000138E7" w:rsidRDefault="000138E7" w:rsidP="000138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ostateczną ekspertyzę  do 22 października 2021 r.</w:t>
      </w:r>
    </w:p>
    <w:p w14:paraId="0ACFF091" w14:textId="2FCA2978" w:rsidR="000138E7" w:rsidRDefault="000138E7" w:rsidP="000138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dzieła nastąpi w terminie 7 dni roboczych od daty otrzymania ostatecznej ekspertyzy.</w:t>
      </w:r>
    </w:p>
    <w:p w14:paraId="79A5A201" w14:textId="77777777" w:rsidR="00005FEB" w:rsidRPr="00005FEB" w:rsidRDefault="00005FEB" w:rsidP="00005FEB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CD30151" w14:textId="664CA498" w:rsidR="001D4C73" w:rsidRDefault="000138E7" w:rsidP="001D4C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1D4C73" w:rsidRPr="00BB613E">
        <w:rPr>
          <w:rFonts w:ascii="Times New Roman" w:hAnsi="Times New Roman" w:cs="Times New Roman"/>
          <w:b/>
          <w:bCs/>
          <w:sz w:val="24"/>
          <w:szCs w:val="24"/>
        </w:rPr>
        <w:t>nne istotne informacje.</w:t>
      </w:r>
    </w:p>
    <w:p w14:paraId="35E6436A" w14:textId="36BE53C1" w:rsidR="001D4C73" w:rsidRDefault="001C364B" w:rsidP="00DA261C">
      <w:pPr>
        <w:jc w:val="both"/>
        <w:rPr>
          <w:rFonts w:ascii="Times New Roman" w:hAnsi="Times New Roman" w:cs="Times New Roman"/>
          <w:sz w:val="24"/>
          <w:szCs w:val="24"/>
        </w:rPr>
      </w:pPr>
      <w:r w:rsidRPr="00DA261C">
        <w:rPr>
          <w:rFonts w:ascii="Times New Roman" w:hAnsi="Times New Roman" w:cs="Times New Roman"/>
          <w:sz w:val="24"/>
          <w:szCs w:val="24"/>
        </w:rPr>
        <w:t xml:space="preserve">Wyniki uprzednio prowadzonej oceny stanu siedlisk </w:t>
      </w:r>
      <w:r w:rsidR="001D4C73" w:rsidRPr="00DA261C">
        <w:rPr>
          <w:rFonts w:ascii="Times New Roman" w:hAnsi="Times New Roman" w:cs="Times New Roman"/>
          <w:sz w:val="24"/>
          <w:szCs w:val="24"/>
        </w:rPr>
        <w:t xml:space="preserve"> zostaną przekazane w</w:t>
      </w:r>
      <w:r w:rsidR="00D93C89" w:rsidRPr="00DA261C">
        <w:rPr>
          <w:rFonts w:ascii="Times New Roman" w:hAnsi="Times New Roman" w:cs="Times New Roman"/>
          <w:sz w:val="24"/>
          <w:szCs w:val="24"/>
        </w:rPr>
        <w:t> </w:t>
      </w:r>
      <w:r w:rsidR="001D4C73" w:rsidRPr="00DA261C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877947" w:rsidRPr="00DA261C">
        <w:rPr>
          <w:rFonts w:ascii="Times New Roman" w:hAnsi="Times New Roman" w:cs="Times New Roman"/>
          <w:sz w:val="24"/>
          <w:szCs w:val="24"/>
        </w:rPr>
        <w:t>7</w:t>
      </w:r>
      <w:r w:rsidR="001D4C73" w:rsidRPr="00DA261C">
        <w:rPr>
          <w:rFonts w:ascii="Times New Roman" w:hAnsi="Times New Roman" w:cs="Times New Roman"/>
          <w:sz w:val="24"/>
          <w:szCs w:val="24"/>
        </w:rPr>
        <w:t xml:space="preserve"> dni od daty podpisania umowy.</w:t>
      </w:r>
    </w:p>
    <w:p w14:paraId="3E9FE1B7" w14:textId="16A2F1B7" w:rsidR="000E489F" w:rsidRDefault="000E489F" w:rsidP="00DA26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7B17D" w14:textId="77777777" w:rsidR="000E489F" w:rsidRPr="00EA3173" w:rsidRDefault="000E489F" w:rsidP="000E48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6868">
        <w:rPr>
          <w:rFonts w:ascii="Times New Roman" w:hAnsi="Times New Roman" w:cs="Times New Roman"/>
          <w:b/>
          <w:sz w:val="24"/>
          <w:szCs w:val="24"/>
        </w:rPr>
        <w:t>Wymogi względem dokumentacji:</w:t>
      </w:r>
    </w:p>
    <w:p w14:paraId="6B80B990" w14:textId="77777777" w:rsidR="000E489F" w:rsidRPr="00EA3173" w:rsidRDefault="000E489F" w:rsidP="000E489F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Ekspertyzę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należy wykonać w </w:t>
      </w:r>
      <w:r w:rsidRPr="00A007D9">
        <w:rPr>
          <w:rFonts w:ascii="Times New Roman" w:eastAsia="UniversPro-Roman" w:hAnsi="Times New Roman" w:cs="UniversPro-Roman"/>
          <w:sz w:val="24"/>
          <w:szCs w:val="24"/>
          <w:lang w:eastAsia="ar-SA"/>
        </w:rPr>
        <w:t>2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jednakowych egzemplarzach wraz załącznikami graficznymi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formie papierowej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</w:t>
      </w:r>
      <w:r w:rsidRPr="00735ABB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 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zielonej</w:t>
      </w:r>
      <w:r w:rsidRPr="00735ABB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oprawie wraz z wersją elektroniczną na płytach CD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/DVD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:</w:t>
      </w:r>
    </w:p>
    <w:p w14:paraId="445BA925" w14:textId="77777777" w:rsidR="000E489F" w:rsidRPr="00EA3173" w:rsidRDefault="000E489F" w:rsidP="000E489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napisana w języku polskim,</w:t>
      </w:r>
    </w:p>
    <w:p w14:paraId="0B74D692" w14:textId="77777777" w:rsidR="000E489F" w:rsidRPr="00EA3173" w:rsidRDefault="000E489F" w:rsidP="000E489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rozmiar czcionki 12 (preferowana), </w:t>
      </w:r>
    </w:p>
    <w:p w14:paraId="1C58689F" w14:textId="77777777" w:rsidR="000E489F" w:rsidRPr="00EA3173" w:rsidRDefault="000E489F" w:rsidP="000E489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</w:pP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czcionka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 xml:space="preserve"> – Times New Roma</w:t>
      </w:r>
      <w:r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n</w:t>
      </w:r>
      <w:r w:rsidRPr="00EA3173">
        <w:rPr>
          <w:rFonts w:ascii="Times New Roman" w:eastAsia="UniversPro-Roman" w:hAnsi="Times New Roman" w:cs="UniversPro-Roman"/>
          <w:sz w:val="24"/>
          <w:szCs w:val="24"/>
          <w:lang w:val="en-US" w:eastAsia="ar-SA"/>
        </w:rPr>
        <w:t>,</w:t>
      </w:r>
    </w:p>
    <w:p w14:paraId="06B25D7A" w14:textId="77777777" w:rsidR="000E489F" w:rsidRPr="00EA3173" w:rsidRDefault="000E489F" w:rsidP="000E489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format A4,</w:t>
      </w:r>
    </w:p>
    <w:p w14:paraId="03B8D044" w14:textId="141CD282" w:rsidR="000E489F" w:rsidRDefault="000E489F" w:rsidP="000E489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zielona 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twarda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oprawa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lub miękka kartonowa -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trwale podpisana (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wygrawerowany lub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nadrukowany 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czytelny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napis):</w:t>
      </w:r>
      <w:bookmarkStart w:id="2" w:name="_Hlk34645569"/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„</w:t>
      </w:r>
      <w:r w:rsidR="00005FEB" w:rsidRPr="00005FEB">
        <w:rPr>
          <w:rFonts w:ascii="Times New Roman" w:eastAsia="UniversPro-Roman" w:hAnsi="Times New Roman" w:cs="UniversPro-Roman"/>
          <w:sz w:val="24"/>
          <w:szCs w:val="24"/>
          <w:lang w:eastAsia="ar-SA"/>
        </w:rPr>
        <w:t>Monitoring siedlisk przyrodniczych w obszarze Natura 2000 Jezioro Gopło PLH040007</w:t>
      </w:r>
      <w:r w:rsidR="006031DD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(2021)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”.</w:t>
      </w:r>
    </w:p>
    <w:bookmarkEnd w:id="2"/>
    <w:p w14:paraId="641A63FE" w14:textId="43D765CF" w:rsidR="000E489F" w:rsidRPr="00AD24EF" w:rsidRDefault="000E489F" w:rsidP="000E489F">
      <w:pPr>
        <w:pStyle w:val="Akapitzlist"/>
        <w:numPr>
          <w:ilvl w:val="0"/>
          <w:numId w:val="6"/>
        </w:numPr>
        <w:spacing w:after="0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/DVD</w:t>
      </w: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zostaną dostarczone w opakowaniach do płyt (plastikowym lub kartonowym) czytelnie opisanych z wskazaniem tytułu opracowania tj.</w:t>
      </w:r>
      <w:r w:rsidRPr="00AD24EF">
        <w:t xml:space="preserve"> </w:t>
      </w: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„</w:t>
      </w:r>
      <w:r w:rsidR="00005FEB" w:rsidRPr="00005FEB">
        <w:rPr>
          <w:rFonts w:ascii="Times New Roman" w:eastAsia="UniversPro-Roman" w:hAnsi="Times New Roman" w:cs="UniversPro-Roman"/>
          <w:sz w:val="24"/>
          <w:szCs w:val="24"/>
          <w:lang w:eastAsia="ar-SA"/>
        </w:rPr>
        <w:t>Monitoring siedlisk przyrodniczych w obszarze Natura 2000 Jezioro Gopło PLH040007</w:t>
      </w:r>
      <w:r w:rsidR="006031DD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(2021)</w:t>
      </w: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”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oraz niezbędnych logo. </w:t>
      </w:r>
    </w:p>
    <w:p w14:paraId="637AF651" w14:textId="77777777" w:rsidR="000E489F" w:rsidRPr="00EA3173" w:rsidRDefault="000E489F" w:rsidP="000E489F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Mapy tematyczne, będące integralną częścią dokumentacji, sporządza się w formie cyfrowej z wykorzystaniem systemu informacji przestrzennej GIS oraz w formie wydruków </w:t>
      </w:r>
      <w:r w:rsidRPr="00CC0EA5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(format A3 lub A4)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w skali zapewniającej czytelność przedstawionych danych w układzie współrzędnych PL-1992, format ESRI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shapefile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(*.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shp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).</w:t>
      </w:r>
    </w:p>
    <w:p w14:paraId="7F48629B" w14:textId="77777777" w:rsidR="000E489F" w:rsidRDefault="000E489F" w:rsidP="000E489F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/DVD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powinny zwierać dokumentację w formacie PDF i DOC,</w:t>
      </w:r>
      <w:r w:rsidRPr="00EA3173">
        <w:rPr>
          <w:rFonts w:ascii="Calibri" w:eastAsia="Calibri" w:hAnsi="Calibri" w:cs="Times New Roman"/>
        </w:rPr>
        <w:t xml:space="preserve">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dane GIS; </w:t>
      </w:r>
      <w:r w:rsidRPr="00AA5937">
        <w:rPr>
          <w:rFonts w:ascii="Times New Roman" w:eastAsia="UniversPro-Roman" w:hAnsi="Times New Roman" w:cs="UniversPro-Roman"/>
          <w:sz w:val="24"/>
          <w:szCs w:val="24"/>
          <w:lang w:eastAsia="ar-SA"/>
        </w:rPr>
        <w:t>dokumentację fotograficzną  w formacie JPG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mapy tematyczne w formacie JPG 300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dpi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.</w:t>
      </w:r>
    </w:p>
    <w:p w14:paraId="16FBC4B4" w14:textId="77777777" w:rsidR="000E489F" w:rsidRPr="00EA3173" w:rsidRDefault="000E489F" w:rsidP="000E489F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Płyty CD/DVD zostaną trwale opisane poprzez wskazanie co najmniej tytułu oraz roku opracowania dokumentacji oraz logo</w:t>
      </w:r>
      <w:r w:rsidRPr="00A007D9">
        <w:t xml:space="preserve"> </w:t>
      </w:r>
      <w:proofErr w:type="spellStart"/>
      <w:r w:rsidRPr="00A007D9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A007D9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i RDOŚ w Bydgoszczy .</w:t>
      </w:r>
    </w:p>
    <w:p w14:paraId="53B5F28C" w14:textId="77777777" w:rsidR="000E489F" w:rsidRPr="00EA3173" w:rsidRDefault="000E489F" w:rsidP="000E489F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6C0055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 okładce lub na stronie technicznej (druga strona strony tytułowej)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należy umieścić logo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oraz informację o źródle finansowania w brzmieniu: „Dofinansowano ze środków Wojewódzkiego Funduszu Ochrony Środowiska i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 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Gospodarki Wodnej w Toruniu". Wymagani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a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jakie musi spełniać logo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 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Toruniu: </w:t>
      </w:r>
    </w:p>
    <w:p w14:paraId="0626D7CE" w14:textId="77777777" w:rsidR="000E489F" w:rsidRPr="00EA3173" w:rsidRDefault="000E489F" w:rsidP="000E489F">
      <w:pPr>
        <w:numPr>
          <w:ilvl w:val="1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rodzaj czcionki: Antykwa Połtawskiego TTF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Bold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, </w:t>
      </w:r>
    </w:p>
    <w:p w14:paraId="1B319F61" w14:textId="77777777" w:rsidR="000E489F" w:rsidRPr="00EA3173" w:rsidRDefault="000E489F" w:rsidP="000E489F">
      <w:pPr>
        <w:numPr>
          <w:ilvl w:val="1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kolor: biały (C: 0, M:0, Y:0, K:0), kolor zielony (C:100 M: 0 Y:80 K:40), </w:t>
      </w:r>
    </w:p>
    <w:p w14:paraId="59BBFFCA" w14:textId="77777777" w:rsidR="000E489F" w:rsidRPr="00EA3173" w:rsidRDefault="000E489F" w:rsidP="000E489F">
      <w:pPr>
        <w:numPr>
          <w:ilvl w:val="1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tłem dla logo jest kolor biały.</w:t>
      </w:r>
    </w:p>
    <w:p w14:paraId="1C50C107" w14:textId="77777777" w:rsidR="000E489F" w:rsidRPr="00EA3173" w:rsidRDefault="000E489F" w:rsidP="000E489F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N</w:t>
      </w:r>
      <w:r w:rsidRPr="00834A40">
        <w:rPr>
          <w:rFonts w:ascii="Times New Roman" w:eastAsia="UniversPro-Roman" w:hAnsi="Times New Roman" w:cs="UniversPro-Roman"/>
          <w:sz w:val="24"/>
          <w:szCs w:val="24"/>
          <w:lang w:eastAsia="ar-SA"/>
        </w:rPr>
        <w:t>a okładce lub na stronie technicznej (druga strona strony tytułowej)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oraz na opakowaniach płyt CD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>/DVD</w:t>
      </w: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6109D872" w14:textId="77777777" w:rsidR="000E489F" w:rsidRPr="00735ABB" w:rsidRDefault="000E489F" w:rsidP="000E489F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lastRenderedPageBreak/>
        <w:t xml:space="preserve">Wzory logo </w:t>
      </w:r>
      <w:proofErr w:type="spellStart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>WFOŚiGW</w:t>
      </w:r>
      <w:proofErr w:type="spellEnd"/>
      <w:r w:rsidRPr="00EA3173"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w Toruniu w układzie poziomym i  pionowym wraz z opisem proporcji znaku:</w:t>
      </w:r>
    </w:p>
    <w:p w14:paraId="51C18260" w14:textId="77777777" w:rsidR="000E489F" w:rsidRPr="00EA3173" w:rsidRDefault="000E489F" w:rsidP="000E489F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</w:p>
    <w:p w14:paraId="07B38B79" w14:textId="77777777" w:rsidR="000E489F" w:rsidRPr="00EA3173" w:rsidRDefault="000E489F" w:rsidP="000E489F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EA3173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26ABCBB0" wp14:editId="27B1E872">
            <wp:extent cx="1809750" cy="1682154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A5855" w14:textId="77777777" w:rsidR="000E489F" w:rsidRPr="00EA3173" w:rsidRDefault="000E489F" w:rsidP="000E489F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EA3173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6F2F1828" wp14:editId="7CBE9FF4">
            <wp:extent cx="3048000" cy="122655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B7145" w14:textId="77777777" w:rsidR="000E489F" w:rsidRPr="00382150" w:rsidRDefault="000E489F" w:rsidP="000E489F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UniversPro-Roman" w:hAnsi="Times New Roman" w:cs="UniversPro-Roman"/>
          <w:sz w:val="24"/>
          <w:szCs w:val="24"/>
          <w:lang w:eastAsia="ar-SA"/>
        </w:rPr>
      </w:pPr>
      <w:r w:rsidRPr="00AD24EF">
        <w:rPr>
          <w:rFonts w:ascii="Times New Roman" w:eastAsia="UniversPro-Roman" w:hAnsi="Times New Roman" w:cs="UniversPro-Roman"/>
          <w:sz w:val="24"/>
          <w:szCs w:val="24"/>
          <w:lang w:eastAsia="ar-SA"/>
        </w:rPr>
        <w:t>Wzór logo Regionalnej Dyrekcji Ochrony Środowiska w Bydgoszczy</w:t>
      </w:r>
      <w:r>
        <w:rPr>
          <w:rFonts w:ascii="Times New Roman" w:eastAsia="UniversPro-Roman" w:hAnsi="Times New Roman" w:cs="UniversPro-Roman"/>
          <w:sz w:val="24"/>
          <w:szCs w:val="24"/>
          <w:lang w:eastAsia="ar-SA"/>
        </w:rPr>
        <w:t xml:space="preserve"> </w:t>
      </w:r>
    </w:p>
    <w:p w14:paraId="2FD54D58" w14:textId="77777777" w:rsidR="000E489F" w:rsidRPr="00735ABB" w:rsidRDefault="000E489F" w:rsidP="000E489F">
      <w:pPr>
        <w:suppressAutoHyphens/>
        <w:spacing w:after="0" w:line="276" w:lineRule="auto"/>
        <w:ind w:left="284"/>
        <w:jc w:val="both"/>
        <w:rPr>
          <w:rFonts w:ascii="Times New Roman" w:eastAsia="UniversPro-Bold" w:hAnsi="Times New Roman" w:cs="UniversPro-Bold"/>
          <w:sz w:val="24"/>
          <w:szCs w:val="24"/>
          <w:lang w:eastAsia="ar-SA"/>
        </w:rPr>
      </w:pPr>
      <w:r w:rsidRPr="00EA3173">
        <w:rPr>
          <w:rFonts w:ascii="Times New Roman" w:eastAsia="UniversPro-Bold" w:hAnsi="Times New Roman" w:cs="UniversPro-Bold"/>
          <w:noProof/>
          <w:sz w:val="24"/>
          <w:szCs w:val="24"/>
          <w:lang w:eastAsia="pl-PL"/>
        </w:rPr>
        <w:drawing>
          <wp:inline distT="0" distB="0" distL="0" distR="0" wp14:anchorId="380B435C" wp14:editId="2323F3AB">
            <wp:extent cx="1314450" cy="1093874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4E450" w14:textId="77777777" w:rsidR="000E489F" w:rsidRDefault="000E489F" w:rsidP="000E48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ABB">
        <w:rPr>
          <w:rFonts w:ascii="Times New Roman" w:hAnsi="Times New Roman" w:cs="Times New Roman"/>
          <w:bCs/>
          <w:sz w:val="24"/>
          <w:szCs w:val="24"/>
        </w:rPr>
        <w:t xml:space="preserve">W uzasadnionych przypadkach, po </w:t>
      </w:r>
      <w:r>
        <w:rPr>
          <w:rFonts w:ascii="Times New Roman" w:hAnsi="Times New Roman" w:cs="Times New Roman"/>
          <w:bCs/>
          <w:sz w:val="24"/>
          <w:szCs w:val="24"/>
        </w:rPr>
        <w:t>uzgodnieniu</w:t>
      </w:r>
      <w:r w:rsidRPr="00735ABB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Zamawiającym</w:t>
      </w:r>
      <w:r w:rsidRPr="00735ABB">
        <w:rPr>
          <w:rFonts w:ascii="Times New Roman" w:hAnsi="Times New Roman" w:cs="Times New Roman"/>
          <w:bCs/>
          <w:sz w:val="24"/>
          <w:szCs w:val="24"/>
        </w:rPr>
        <w:t xml:space="preserve">, dopuszczalne jest zastosowanie rozwiązań innych niż wskazane powyżej, zapewniających skuteczną promocję </w:t>
      </w:r>
      <w:proofErr w:type="spellStart"/>
      <w:r w:rsidRPr="00735ABB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735ABB">
        <w:rPr>
          <w:rFonts w:ascii="Times New Roman" w:hAnsi="Times New Roman" w:cs="Times New Roman"/>
          <w:bCs/>
          <w:sz w:val="24"/>
          <w:szCs w:val="24"/>
        </w:rPr>
        <w:t xml:space="preserve"> w Toruniu.</w:t>
      </w:r>
      <w:r>
        <w:rPr>
          <w:rFonts w:ascii="Times New Roman" w:hAnsi="Times New Roman" w:cs="Times New Roman"/>
          <w:bCs/>
          <w:sz w:val="24"/>
          <w:szCs w:val="24"/>
        </w:rPr>
        <w:t xml:space="preserve"> Oznakowanie musi być zgodne z z</w:t>
      </w:r>
      <w:r w:rsidRPr="00050763">
        <w:rPr>
          <w:rFonts w:ascii="Times New Roman" w:hAnsi="Times New Roman" w:cs="Times New Roman"/>
          <w:bCs/>
          <w:sz w:val="24"/>
          <w:szCs w:val="24"/>
        </w:rPr>
        <w:t>asad</w:t>
      </w:r>
      <w:r>
        <w:rPr>
          <w:rFonts w:ascii="Times New Roman" w:hAnsi="Times New Roman" w:cs="Times New Roman"/>
          <w:bCs/>
          <w:sz w:val="24"/>
          <w:szCs w:val="24"/>
        </w:rPr>
        <w:t>ami</w:t>
      </w:r>
      <w:r w:rsidRPr="00050763">
        <w:rPr>
          <w:rFonts w:ascii="Times New Roman" w:hAnsi="Times New Roman" w:cs="Times New Roman"/>
          <w:bCs/>
          <w:sz w:val="24"/>
          <w:szCs w:val="24"/>
        </w:rPr>
        <w:t xml:space="preserve"> oznakowania inwestycji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określonymi przez </w:t>
      </w:r>
      <w:proofErr w:type="spellStart"/>
      <w:r w:rsidRPr="00050763">
        <w:rPr>
          <w:rFonts w:ascii="Times New Roman" w:hAnsi="Times New Roman" w:cs="Times New Roman"/>
          <w:bCs/>
          <w:sz w:val="24"/>
          <w:szCs w:val="24"/>
        </w:rPr>
        <w:t>WFOŚiGW</w:t>
      </w:r>
      <w:proofErr w:type="spellEnd"/>
      <w:r w:rsidRPr="00050763">
        <w:rPr>
          <w:rFonts w:ascii="Times New Roman" w:hAnsi="Times New Roman" w:cs="Times New Roman"/>
          <w:bCs/>
          <w:sz w:val="24"/>
          <w:szCs w:val="24"/>
        </w:rPr>
        <w:t xml:space="preserve"> w Toruniu</w:t>
      </w:r>
      <w:r>
        <w:rPr>
          <w:rFonts w:ascii="Times New Roman" w:hAnsi="Times New Roman" w:cs="Times New Roman"/>
          <w:bCs/>
          <w:sz w:val="24"/>
          <w:szCs w:val="24"/>
        </w:rPr>
        <w:t xml:space="preserve">, których pełna treść jest dostępna na stronie:          </w:t>
      </w:r>
    </w:p>
    <w:p w14:paraId="47B7A582" w14:textId="77777777" w:rsidR="000E489F" w:rsidRDefault="002876FB" w:rsidP="000E489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0E489F" w:rsidRPr="009F21E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https://wfosigw.torun.pl/strona-12-zasady_oznakowania_inwestycji.html</w:t>
        </w:r>
      </w:hyperlink>
    </w:p>
    <w:p w14:paraId="7D367B96" w14:textId="692F15F2" w:rsidR="000E489F" w:rsidRDefault="000E489F" w:rsidP="000E48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9D156" w14:textId="77777777" w:rsidR="008D10D1" w:rsidRDefault="008D10D1" w:rsidP="000E48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01398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jc w:val="center"/>
        <w:rPr>
          <w:rFonts w:ascii="MS Sans Serif" w:eastAsia="Times New Roman" w:hAnsi="MS Sans Serif" w:cs="MS Sans Serif"/>
          <w:sz w:val="20"/>
          <w:szCs w:val="20"/>
          <w:lang w:eastAsia="ar-SA"/>
        </w:rPr>
      </w:pP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424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WYKONAWCA</w:t>
      </w:r>
    </w:p>
    <w:p w14:paraId="056C697E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7ADE3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76B043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4C92A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4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                                               ………………………………</w:t>
      </w:r>
    </w:p>
    <w:p w14:paraId="19B62D65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F84D0F" w14:textId="77777777" w:rsidR="000E489F" w:rsidRPr="002424DD" w:rsidRDefault="000E489F" w:rsidP="000E489F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B142B1" w14:textId="77777777" w:rsidR="000E489F" w:rsidRPr="0021538E" w:rsidRDefault="000E489F" w:rsidP="000E489F">
      <w:pPr>
        <w:suppressAutoHyphens/>
        <w:overflowPunct w:val="0"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4D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                                               ………………………………</w:t>
      </w:r>
    </w:p>
    <w:p w14:paraId="032D779E" w14:textId="77777777" w:rsidR="00FE40C6" w:rsidRPr="00306C82" w:rsidRDefault="00FE40C6" w:rsidP="00306C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0C6" w:rsidRPr="00306C82" w:rsidSect="001D52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440E" w14:textId="77777777" w:rsidR="002876FB" w:rsidRDefault="002876FB" w:rsidP="002D6630">
      <w:pPr>
        <w:spacing w:after="0" w:line="240" w:lineRule="auto"/>
      </w:pPr>
      <w:r>
        <w:separator/>
      </w:r>
    </w:p>
  </w:endnote>
  <w:endnote w:type="continuationSeparator" w:id="0">
    <w:p w14:paraId="7DD0E3E9" w14:textId="77777777" w:rsidR="002876FB" w:rsidRDefault="002876FB" w:rsidP="002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charset w:val="EE"/>
    <w:family w:val="swiss"/>
    <w:pitch w:val="default"/>
  </w:font>
  <w:font w:name="UniversPro-Bold">
    <w:charset w:val="EE"/>
    <w:family w:val="swiss"/>
    <w:pitch w:val="default"/>
  </w:font>
  <w:font w:name="MS Sans Serif">
    <w:altName w:val="Arial"/>
    <w:panose1 w:val="00000000000000000000"/>
    <w:charset w:val="00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3D99" w14:textId="77777777" w:rsidR="002876FB" w:rsidRDefault="002876FB" w:rsidP="002D6630">
      <w:pPr>
        <w:spacing w:after="0" w:line="240" w:lineRule="auto"/>
      </w:pPr>
      <w:r>
        <w:separator/>
      </w:r>
    </w:p>
  </w:footnote>
  <w:footnote w:type="continuationSeparator" w:id="0">
    <w:p w14:paraId="2CD78E40" w14:textId="77777777" w:rsidR="002876FB" w:rsidRDefault="002876FB" w:rsidP="002D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B7CD" w14:textId="77777777" w:rsidR="002D6630" w:rsidRPr="002D6630" w:rsidRDefault="002D6630" w:rsidP="002D663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D6630">
      <w:rPr>
        <w:rFonts w:ascii="Times New Roman" w:eastAsia="Times New Roman" w:hAnsi="Times New Roman" w:cs="Times New Roman"/>
        <w:sz w:val="24"/>
        <w:szCs w:val="24"/>
        <w:lang w:eastAsia="pl-PL"/>
      </w:rPr>
      <w:t>Numer postępowania: WOP.261.49.2020.RS</w:t>
    </w:r>
  </w:p>
  <w:p w14:paraId="354BDECF" w14:textId="07F95D8C" w:rsidR="002D6630" w:rsidRDefault="002D66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D54"/>
    <w:multiLevelType w:val="hybridMultilevel"/>
    <w:tmpl w:val="C2B42B66"/>
    <w:lvl w:ilvl="0" w:tplc="E60ACAC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B0"/>
    <w:multiLevelType w:val="hybridMultilevel"/>
    <w:tmpl w:val="69544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F84"/>
    <w:multiLevelType w:val="hybridMultilevel"/>
    <w:tmpl w:val="27DC6D50"/>
    <w:lvl w:ilvl="0" w:tplc="141A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21655"/>
    <w:multiLevelType w:val="hybridMultilevel"/>
    <w:tmpl w:val="D4F67800"/>
    <w:lvl w:ilvl="0" w:tplc="1F4647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7B21"/>
    <w:multiLevelType w:val="hybridMultilevel"/>
    <w:tmpl w:val="FB06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8"/>
    <w:rsid w:val="00005FEB"/>
    <w:rsid w:val="000138E7"/>
    <w:rsid w:val="0002358E"/>
    <w:rsid w:val="00092FAC"/>
    <w:rsid w:val="000E489F"/>
    <w:rsid w:val="00104570"/>
    <w:rsid w:val="0011237B"/>
    <w:rsid w:val="0014153F"/>
    <w:rsid w:val="00141684"/>
    <w:rsid w:val="001A7C65"/>
    <w:rsid w:val="001C364B"/>
    <w:rsid w:val="001D4C73"/>
    <w:rsid w:val="001D5293"/>
    <w:rsid w:val="00202F82"/>
    <w:rsid w:val="002336A4"/>
    <w:rsid w:val="002876FB"/>
    <w:rsid w:val="002D6630"/>
    <w:rsid w:val="00306C82"/>
    <w:rsid w:val="003672CA"/>
    <w:rsid w:val="00391CB6"/>
    <w:rsid w:val="003E233A"/>
    <w:rsid w:val="003E48A0"/>
    <w:rsid w:val="00482C92"/>
    <w:rsid w:val="00483117"/>
    <w:rsid w:val="00573530"/>
    <w:rsid w:val="005B3AC4"/>
    <w:rsid w:val="006031DD"/>
    <w:rsid w:val="00671AB4"/>
    <w:rsid w:val="0068572D"/>
    <w:rsid w:val="00695601"/>
    <w:rsid w:val="006F312C"/>
    <w:rsid w:val="00776BE2"/>
    <w:rsid w:val="00877947"/>
    <w:rsid w:val="008D10D1"/>
    <w:rsid w:val="00943293"/>
    <w:rsid w:val="00B12DE3"/>
    <w:rsid w:val="00B30B9C"/>
    <w:rsid w:val="00B51500"/>
    <w:rsid w:val="00B86045"/>
    <w:rsid w:val="00BB613E"/>
    <w:rsid w:val="00BF42A7"/>
    <w:rsid w:val="00C07090"/>
    <w:rsid w:val="00D93C89"/>
    <w:rsid w:val="00DA261C"/>
    <w:rsid w:val="00DD13E9"/>
    <w:rsid w:val="00DF34B8"/>
    <w:rsid w:val="00DF6609"/>
    <w:rsid w:val="00E33650"/>
    <w:rsid w:val="00EE166D"/>
    <w:rsid w:val="00FA3FEE"/>
    <w:rsid w:val="00FB467A"/>
    <w:rsid w:val="00FE1E66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C4AC"/>
  <w15:chartTrackingRefBased/>
  <w15:docId w15:val="{703668E5-3A8B-4DA8-B98B-594C7B9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5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1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630"/>
  </w:style>
  <w:style w:type="paragraph" w:styleId="Stopka">
    <w:name w:val="footer"/>
    <w:basedOn w:val="Normalny"/>
    <w:link w:val="StopkaZnak"/>
    <w:uiPriority w:val="99"/>
    <w:unhideWhenUsed/>
    <w:rsid w:val="002D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os.gov.pl/wytyczne-i-poradni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fosigw.torun.pl/strona-12-zasady_oznakowania_inwestycji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Czajka</dc:creator>
  <cp:keywords/>
  <dc:description/>
  <cp:lastModifiedBy>Paula Kołtuniak</cp:lastModifiedBy>
  <cp:revision>2</cp:revision>
  <dcterms:created xsi:type="dcterms:W3CDTF">2020-10-27T08:22:00Z</dcterms:created>
  <dcterms:modified xsi:type="dcterms:W3CDTF">2020-10-27T08:22:00Z</dcterms:modified>
</cp:coreProperties>
</file>