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72" w:rsidRPr="00A353D0" w:rsidRDefault="005215C0" w:rsidP="008D0755">
      <w:pPr>
        <w:spacing w:line="276" w:lineRule="auto"/>
        <w:jc w:val="center"/>
        <w:rPr>
          <w:b/>
          <w:sz w:val="22"/>
          <w:szCs w:val="22"/>
        </w:rPr>
      </w:pPr>
      <w:r w:rsidRPr="00A353D0">
        <w:rPr>
          <w:b/>
          <w:sz w:val="22"/>
          <w:szCs w:val="22"/>
        </w:rPr>
        <w:t>OPIS PRZEDMIOTU ZAMÓWIENIA</w:t>
      </w:r>
    </w:p>
    <w:p w:rsidR="008D0755" w:rsidRPr="00A353D0" w:rsidRDefault="008D0755" w:rsidP="008D0755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:rsidR="00A24E5D" w:rsidRDefault="005215C0" w:rsidP="008D0755">
      <w:pPr>
        <w:pStyle w:val="Akapitzlist"/>
        <w:numPr>
          <w:ilvl w:val="0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Przedmiot zamówienia</w:t>
      </w:r>
    </w:p>
    <w:p w:rsidR="00A24E5D" w:rsidRDefault="00A24E5D" w:rsidP="00A24E5D">
      <w:pPr>
        <w:snapToGrid w:val="0"/>
        <w:spacing w:line="276" w:lineRule="auto"/>
        <w:jc w:val="both"/>
      </w:pPr>
    </w:p>
    <w:p w:rsidR="008D0755" w:rsidRPr="00A24E5D" w:rsidRDefault="00AA0A52" w:rsidP="00A24E5D">
      <w:pPr>
        <w:snapToGrid w:val="0"/>
        <w:spacing w:line="276" w:lineRule="auto"/>
        <w:jc w:val="both"/>
      </w:pPr>
      <w:r w:rsidRPr="00A24E5D">
        <w:t>Przedmiotem zamówienia jest sporządzenie dokumentacji pt. „</w:t>
      </w:r>
      <w:r w:rsidR="00FB45BA" w:rsidRPr="00FB45BA">
        <w:t>Wykonanie ekspertyzy na potrzeby uzupełnienia stanu wiedzy dla przedmiotów ochrony na obszarze Natura 2000 Bory Tucholskie PLB220009</w:t>
      </w:r>
      <w:r w:rsidRPr="00A24E5D">
        <w:t>”.</w:t>
      </w:r>
    </w:p>
    <w:p w:rsidR="00A24E5D" w:rsidRDefault="00A24E5D" w:rsidP="00A24E5D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:rsidR="00A24E5D" w:rsidRPr="00A24E5D" w:rsidRDefault="005215C0" w:rsidP="00A24E5D">
      <w:pPr>
        <w:pStyle w:val="Akapitzlist"/>
        <w:numPr>
          <w:ilvl w:val="0"/>
          <w:numId w:val="29"/>
        </w:numPr>
        <w:snapToGrid w:val="0"/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>Zakres prac w ramach przedmiotu zamówienia</w:t>
      </w:r>
    </w:p>
    <w:p w:rsidR="007C4170" w:rsidRPr="00A24E5D" w:rsidRDefault="00AA0A52" w:rsidP="00A24E5D">
      <w:pPr>
        <w:pStyle w:val="Akapitzlist"/>
        <w:numPr>
          <w:ilvl w:val="1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A24E5D">
        <w:rPr>
          <w:rFonts w:ascii="Times New Roman" w:hAnsi="Times New Roman"/>
        </w:rPr>
        <w:t>o następujących przedmiotach ochrony</w:t>
      </w:r>
      <w:r w:rsidRPr="00A24E5D">
        <w:rPr>
          <w:rFonts w:ascii="Times New Roman" w:hAnsi="Times New Roman"/>
        </w:rPr>
        <w:t>:</w:t>
      </w:r>
    </w:p>
    <w:p w:rsidR="00A24E5D" w:rsidRDefault="00237FC5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Bączek </w:t>
      </w:r>
      <w:proofErr w:type="spellStart"/>
      <w:r w:rsidRPr="00A24E5D">
        <w:rPr>
          <w:i/>
          <w:sz w:val="22"/>
          <w:szCs w:val="22"/>
        </w:rPr>
        <w:t>Ixobrychus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minutus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Włochatka </w:t>
      </w:r>
      <w:proofErr w:type="spellStart"/>
      <w:r w:rsidRPr="00A24E5D">
        <w:rPr>
          <w:i/>
          <w:sz w:val="22"/>
          <w:szCs w:val="22"/>
        </w:rPr>
        <w:t>Aegolius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funereus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Perkozek </w:t>
      </w:r>
      <w:proofErr w:type="spellStart"/>
      <w:r w:rsidRPr="00A24E5D">
        <w:rPr>
          <w:i/>
          <w:sz w:val="22"/>
          <w:szCs w:val="22"/>
        </w:rPr>
        <w:t>Tachybaptus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ruficollis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Gęgawa </w:t>
      </w:r>
      <w:proofErr w:type="spellStart"/>
      <w:r w:rsidRPr="00A24E5D">
        <w:rPr>
          <w:i/>
          <w:sz w:val="22"/>
          <w:szCs w:val="22"/>
        </w:rPr>
        <w:t>Anser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anser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Krakwa </w:t>
      </w:r>
      <w:proofErr w:type="spellStart"/>
      <w:r w:rsidRPr="00A24E5D">
        <w:rPr>
          <w:i/>
          <w:sz w:val="22"/>
          <w:szCs w:val="22"/>
        </w:rPr>
        <w:t>Anas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strepera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Cyraneczka </w:t>
      </w:r>
      <w:proofErr w:type="spellStart"/>
      <w:r w:rsidRPr="00A24E5D">
        <w:rPr>
          <w:i/>
          <w:sz w:val="22"/>
          <w:szCs w:val="22"/>
        </w:rPr>
        <w:t>Anas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crecca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Cyranka </w:t>
      </w:r>
      <w:proofErr w:type="spellStart"/>
      <w:r w:rsidRPr="00A24E5D">
        <w:rPr>
          <w:i/>
          <w:sz w:val="22"/>
          <w:szCs w:val="22"/>
        </w:rPr>
        <w:t>Anas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querquedula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Brodziec piskliwy </w:t>
      </w:r>
      <w:proofErr w:type="spellStart"/>
      <w:r w:rsidRPr="00A24E5D">
        <w:rPr>
          <w:i/>
          <w:sz w:val="22"/>
          <w:szCs w:val="22"/>
        </w:rPr>
        <w:t>Actitis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hypoleucos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lęgowa)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Żuraw </w:t>
      </w:r>
      <w:proofErr w:type="spellStart"/>
      <w:r w:rsidRPr="00A24E5D">
        <w:rPr>
          <w:i/>
          <w:sz w:val="22"/>
          <w:szCs w:val="22"/>
        </w:rPr>
        <w:t>Grus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grus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migrująca)</w:t>
      </w:r>
      <w:r w:rsidR="00A24E5D">
        <w:rPr>
          <w:sz w:val="22"/>
          <w:szCs w:val="22"/>
        </w:rPr>
        <w:t>;</w:t>
      </w:r>
    </w:p>
    <w:p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niemy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olor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zimująca)</w:t>
      </w:r>
      <w:r w:rsidR="00A24E5D">
        <w:rPr>
          <w:sz w:val="22"/>
          <w:szCs w:val="22"/>
        </w:rPr>
        <w:t>;</w:t>
      </w:r>
    </w:p>
    <w:p w:rsidR="00663791" w:rsidRP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krzykliwy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(populacje: migrująca i zimująca)</w:t>
      </w:r>
      <w:r w:rsidR="00A24E5D">
        <w:rPr>
          <w:sz w:val="22"/>
          <w:szCs w:val="22"/>
        </w:rPr>
        <w:t>.</w:t>
      </w:r>
    </w:p>
    <w:p w:rsidR="008D0755" w:rsidRDefault="00872823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353D0">
        <w:rPr>
          <w:sz w:val="22"/>
          <w:szCs w:val="22"/>
        </w:rPr>
        <w:t xml:space="preserve">Badaniami terenowymi należy objąć część obszaru Natura 2000 </w:t>
      </w:r>
      <w:r w:rsidR="00663791" w:rsidRPr="00A353D0">
        <w:rPr>
          <w:sz w:val="22"/>
          <w:szCs w:val="22"/>
        </w:rPr>
        <w:t>Bory Tucholskie</w:t>
      </w:r>
      <w:r w:rsidRPr="00A353D0">
        <w:rPr>
          <w:sz w:val="22"/>
          <w:szCs w:val="22"/>
        </w:rPr>
        <w:t xml:space="preserve"> PLB</w:t>
      </w:r>
      <w:r w:rsidR="00663791" w:rsidRPr="00A353D0">
        <w:rPr>
          <w:sz w:val="22"/>
          <w:szCs w:val="22"/>
        </w:rPr>
        <w:t>220009</w:t>
      </w:r>
      <w:r w:rsidRPr="00A353D0">
        <w:rPr>
          <w:sz w:val="22"/>
          <w:szCs w:val="22"/>
        </w:rPr>
        <w:t xml:space="preserve"> położoną w województwie kujawsko-pomorskim</w:t>
      </w:r>
      <w:r w:rsidR="00CD22AC" w:rsidRPr="00CD22AC">
        <w:rPr>
          <w:sz w:val="22"/>
          <w:szCs w:val="22"/>
        </w:rPr>
        <w:t xml:space="preserve"> </w:t>
      </w:r>
      <w:r w:rsidR="00CD22AC">
        <w:rPr>
          <w:sz w:val="22"/>
          <w:szCs w:val="22"/>
        </w:rPr>
        <w:t xml:space="preserve">z wyłączeniem rezerwatów </w:t>
      </w:r>
      <w:r w:rsidR="00CD22AC" w:rsidRPr="002C4554">
        <w:rPr>
          <w:sz w:val="22"/>
          <w:szCs w:val="22"/>
        </w:rPr>
        <w:t xml:space="preserve">przyrody Bagna nad </w:t>
      </w:r>
      <w:proofErr w:type="spellStart"/>
      <w:r w:rsidR="00CD22AC" w:rsidRPr="002C4554">
        <w:rPr>
          <w:sz w:val="22"/>
          <w:szCs w:val="22"/>
        </w:rPr>
        <w:t>Stążką</w:t>
      </w:r>
      <w:proofErr w:type="spellEnd"/>
      <w:r w:rsidR="00CD22AC" w:rsidRPr="002C4554">
        <w:rPr>
          <w:sz w:val="22"/>
          <w:szCs w:val="22"/>
        </w:rPr>
        <w:t>, Miedzno, Cisy Staropolskie im. Leona Wyczółkowskiego</w:t>
      </w:r>
      <w:r w:rsidRPr="002C4554">
        <w:rPr>
          <w:sz w:val="22"/>
          <w:szCs w:val="22"/>
        </w:rPr>
        <w:t>.</w:t>
      </w:r>
      <w:r w:rsidRPr="00A353D0">
        <w:rPr>
          <w:sz w:val="22"/>
          <w:szCs w:val="22"/>
        </w:rPr>
        <w:t xml:space="preserve"> Powierzchnia terenu objętego badaniami wynosi około </w:t>
      </w:r>
      <w:r w:rsidR="00F73F84">
        <w:rPr>
          <w:sz w:val="22"/>
          <w:szCs w:val="22"/>
        </w:rPr>
        <w:t>108</w:t>
      </w:r>
      <w:r w:rsidR="00CD22AC">
        <w:rPr>
          <w:sz w:val="22"/>
          <w:szCs w:val="22"/>
        </w:rPr>
        <w:t> 302,2</w:t>
      </w:r>
      <w:r w:rsidR="00663791" w:rsidRPr="00A353D0">
        <w:rPr>
          <w:sz w:val="22"/>
          <w:szCs w:val="22"/>
        </w:rPr>
        <w:t xml:space="preserve"> </w:t>
      </w:r>
      <w:r w:rsidRPr="00A353D0">
        <w:rPr>
          <w:sz w:val="22"/>
          <w:szCs w:val="22"/>
        </w:rPr>
        <w:t>ha</w:t>
      </w:r>
      <w:r w:rsidR="00A24E5D">
        <w:rPr>
          <w:sz w:val="22"/>
          <w:szCs w:val="22"/>
        </w:rPr>
        <w:t>.</w:t>
      </w:r>
    </w:p>
    <w:p w:rsidR="00A24E5D" w:rsidRPr="00A353D0" w:rsidRDefault="00A24E5D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</w:p>
    <w:p w:rsidR="00F1712A" w:rsidRDefault="00C62E5F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Przedstawienie charakterystyki zinwentaryzowanych przedmiotów ochrony na terenie objętym zamówieniem z uwzględnieniem następujących parametrów: liczebność, zagęszczenie, rozmieszczenie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Ocena stanu ochrony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F1712A">
        <w:rPr>
          <w:rFonts w:ascii="Times New Roman" w:hAnsi="Times New Roman"/>
        </w:rPr>
        <w:t>przedmiotów ochrony oraz ich opis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celów dział</w:t>
      </w:r>
      <w:r w:rsidR="009124C2" w:rsidRPr="00F1712A">
        <w:rPr>
          <w:rFonts w:ascii="Times New Roman" w:hAnsi="Times New Roman"/>
        </w:rPr>
        <w:t>ań</w:t>
      </w:r>
      <w:r w:rsidRPr="00F1712A">
        <w:rPr>
          <w:rFonts w:ascii="Times New Roman" w:hAnsi="Times New Roman"/>
        </w:rPr>
        <w:t xml:space="preserve"> ochronnych dla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działań ochronnych dla zinwentaryzowanych przedmiotów ochrony</w:t>
      </w:r>
      <w:r w:rsid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61802">
        <w:rPr>
          <w:rFonts w:ascii="Times New Roman" w:hAnsi="Times New Roman"/>
        </w:rPr>
        <w:lastRenderedPageBreak/>
        <w:t xml:space="preserve">Opracowanie dokumentacji w wersji papierowej oraz elektronicznej, w tym cyfrowe warstwy informacyjne w formacie ESRI </w:t>
      </w:r>
      <w:proofErr w:type="spellStart"/>
      <w:r w:rsidRPr="00A61802">
        <w:rPr>
          <w:rFonts w:ascii="Times New Roman" w:hAnsi="Times New Roman"/>
        </w:rPr>
        <w:t>shapefile</w:t>
      </w:r>
      <w:proofErr w:type="spellEnd"/>
      <w:r w:rsidRPr="00A61802">
        <w:rPr>
          <w:rFonts w:ascii="Times New Roman" w:hAnsi="Times New Roman"/>
        </w:rPr>
        <w:t xml:space="preserve"> w układzie współrzędnych płaskich prostokątnych PL-1992, </w:t>
      </w:r>
      <w:r w:rsidRPr="00522F09">
        <w:rPr>
          <w:rFonts w:ascii="Times New Roman" w:hAnsi="Times New Roman"/>
        </w:rPr>
        <w:t xml:space="preserve">dokumentujące rozmieszczenie zinwentaryzowanych przedmiotów ochrony w obszarze Natura 2000 oraz </w:t>
      </w:r>
      <w:bookmarkStart w:id="0" w:name="_Hlk2926732"/>
      <w:r w:rsidRPr="00522F09">
        <w:rPr>
          <w:rFonts w:ascii="Times New Roman" w:hAnsi="Times New Roman"/>
        </w:rPr>
        <w:t>wyznaczone powierzchnie</w:t>
      </w:r>
      <w:r w:rsidR="001178D6" w:rsidRPr="00522F09">
        <w:rPr>
          <w:rFonts w:ascii="Times New Roman" w:hAnsi="Times New Roman"/>
        </w:rPr>
        <w:t>/punkty/</w:t>
      </w:r>
      <w:proofErr w:type="spellStart"/>
      <w:r w:rsidRPr="00522F09">
        <w:rPr>
          <w:rFonts w:ascii="Times New Roman" w:hAnsi="Times New Roman"/>
        </w:rPr>
        <w:t>transekty</w:t>
      </w:r>
      <w:proofErr w:type="spellEnd"/>
      <w:r w:rsidRPr="00522F09">
        <w:rPr>
          <w:rFonts w:ascii="Times New Roman" w:hAnsi="Times New Roman"/>
        </w:rPr>
        <w:t xml:space="preserve"> do prowadzenia badań monitoringowych, lokalizację zagrożeń i działań ochronnych</w:t>
      </w:r>
      <w:r w:rsidRPr="00981E75">
        <w:rPr>
          <w:rFonts w:ascii="Times New Roman" w:hAnsi="Times New Roman"/>
        </w:rPr>
        <w:t xml:space="preserve"> </w:t>
      </w:r>
      <w:bookmarkEnd w:id="0"/>
      <w:r w:rsidRPr="00981E75">
        <w:rPr>
          <w:rFonts w:ascii="Times New Roman" w:hAnsi="Times New Roman"/>
        </w:rPr>
        <w:t>w obszar</w:t>
      </w:r>
      <w:r>
        <w:rPr>
          <w:rFonts w:ascii="Times New Roman" w:hAnsi="Times New Roman"/>
        </w:rPr>
        <w:t>ze</w:t>
      </w:r>
      <w:r w:rsidRPr="00981E75">
        <w:rPr>
          <w:rFonts w:ascii="Times New Roman" w:hAnsi="Times New Roman"/>
        </w:rPr>
        <w:t xml:space="preserve"> Natura 2000</w:t>
      </w:r>
      <w:r w:rsidR="00E92D16" w:rsidRPr="00F1712A">
        <w:rPr>
          <w:rFonts w:ascii="Times New Roman" w:hAnsi="Times New Roman"/>
        </w:rPr>
        <w:t>.</w:t>
      </w:r>
    </w:p>
    <w:p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B04021" w:rsidRDefault="005215C0" w:rsidP="00B040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Sposób realizacji prac w ramach przedmiotu zamówienia</w:t>
      </w:r>
      <w:r w:rsidR="00F1712A">
        <w:rPr>
          <w:rFonts w:ascii="Times New Roman" w:hAnsi="Times New Roman"/>
        </w:rPr>
        <w:t>:</w:t>
      </w:r>
    </w:p>
    <w:p w:rsidR="0053709A" w:rsidRPr="00B04021" w:rsidRDefault="00E92D16" w:rsidP="00B0402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B04021">
        <w:rPr>
          <w:rFonts w:ascii="Times New Roman" w:hAnsi="Times New Roman"/>
        </w:rPr>
        <w:t xml:space="preserve">Prace terenowe będą polegać w szczególności na: 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nwentaryzacji lęgowej populacji bączka - ocenę liczebności wykonać za pomocą mapowania terytoriów godowych, wykonanego z </w:t>
      </w:r>
      <w:r w:rsidR="009124C2" w:rsidRPr="00522F09">
        <w:rPr>
          <w:rFonts w:ascii="Times New Roman" w:hAnsi="Times New Roman"/>
          <w:bCs/>
          <w:iCs/>
          <w:lang w:eastAsia="pl-PL"/>
        </w:rPr>
        <w:t xml:space="preserve">punktów </w:t>
      </w:r>
      <w:bookmarkStart w:id="1" w:name="_Hlk2927166"/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bookmarkEnd w:id="1"/>
      <w:r w:rsidR="009124C2" w:rsidRPr="00522F09">
        <w:rPr>
          <w:rFonts w:ascii="Times New Roman" w:hAnsi="Times New Roman"/>
          <w:bCs/>
          <w:iCs/>
          <w:lang w:eastAsia="pl-PL"/>
        </w:rPr>
        <w:t xml:space="preserve"> rozmieszczonych co 500 - 600 m i/lub </w:t>
      </w:r>
      <w:proofErr w:type="spellStart"/>
      <w:r w:rsidR="009124C2" w:rsidRPr="00522F09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9124C2" w:rsidRPr="00522F09">
        <w:rPr>
          <w:rFonts w:ascii="Times New Roman" w:hAnsi="Times New Roman"/>
          <w:bCs/>
          <w:iCs/>
          <w:lang w:eastAsia="pl-PL"/>
        </w:rPr>
        <w:t xml:space="preserve"> wodnych wyznaczonych wzdłuż szuwarów porastających brzegi wszystkich zbiorników wodnych. Należy przeprowadzić łącznie 4 kontrole wyznaczonych </w:t>
      </w:r>
      <w:proofErr w:type="spellStart"/>
      <w:r w:rsidR="009124C2" w:rsidRPr="00522F09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9124C2" w:rsidRPr="00522F09">
        <w:rPr>
          <w:rFonts w:ascii="Times New Roman" w:hAnsi="Times New Roman"/>
          <w:bCs/>
          <w:iCs/>
          <w:lang w:eastAsia="pl-PL"/>
        </w:rPr>
        <w:t xml:space="preserve"> i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9124C2" w:rsidRPr="00522F09">
        <w:rPr>
          <w:rFonts w:ascii="Times New Roman" w:hAnsi="Times New Roman"/>
          <w:bCs/>
          <w:iCs/>
          <w:lang w:eastAsia="pl-PL"/>
        </w:rPr>
        <w:t>.</w:t>
      </w:r>
      <w:r w:rsidR="009124C2" w:rsidRPr="00A353D0">
        <w:rPr>
          <w:rFonts w:ascii="Times New Roman" w:hAnsi="Times New Roman"/>
          <w:bCs/>
          <w:iCs/>
          <w:lang w:eastAsia="pl-PL"/>
        </w:rPr>
        <w:t xml:space="preserve"> Dwie kontrole w okresie 15 maja - 5 czerwca (nasłuch „szczekających” samców) oraz dwie kontrole w okresie 15 czerwca - 31 lipca (nasłuch „szczekających” samców oraz przelot ptaków z pokarmem). Nasłuchy prowadzić w godzinach porannych (3:00 - 8:00) lub wieczornych (17:00 - 22:00). 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>Inwentaryzacją należy objąć: Jezioro Święte (</w:t>
      </w:r>
      <w:proofErr w:type="spellStart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>Błądzimskie</w:t>
      </w:r>
      <w:proofErr w:type="spellEnd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), Jezioro </w:t>
      </w:r>
      <w:proofErr w:type="spellStart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>Mukrza</w:t>
      </w:r>
      <w:proofErr w:type="spellEnd"/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(Wierzchy), Jezioro Mątasek i inne potencjalne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siedliska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BB3CC2" w:rsidRPr="00A353D0">
        <w:rPr>
          <w:rFonts w:ascii="Times New Roman" w:eastAsia="Times New Roman" w:hAnsi="Times New Roman"/>
          <w:bCs/>
          <w:iCs/>
          <w:lang w:eastAsia="pl-PL"/>
        </w:rPr>
        <w:t>gatunku</w:t>
      </w:r>
      <w:r w:rsidR="009124C2" w:rsidRPr="00A353D0">
        <w:rPr>
          <w:rFonts w:ascii="Times New Roman" w:eastAsia="Times New Roman" w:hAnsi="Times New Roman"/>
          <w:bCs/>
          <w:iCs/>
          <w:lang w:eastAsia="pl-PL"/>
        </w:rPr>
        <w:t xml:space="preserve"> położone w granicach obszaru Natura 2000 Bory Tucholskie PLB220009 na terenie województwa kujawsko-pomorskiego.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włochatki – </w:t>
      </w:r>
      <w:r w:rsidR="00BB3CC2" w:rsidRPr="005D0B11">
        <w:rPr>
          <w:rFonts w:ascii="Times New Roman" w:hAnsi="Times New Roman"/>
          <w:bCs/>
          <w:iCs/>
          <w:lang w:eastAsia="pl-PL"/>
        </w:rPr>
        <w:t>należy przeprowadzić dwie kontrole: pierwszą w okresie 25 marca – 10 kwietnia, drugą w okresie 15 – 30 kwietnia. Nasłuchy prowadzić z punktów wyznaczonych tak, aby objąć wszystkie potencjalne siedliska gatunku w badanym obszarze. Odległość pomiędzy punktami powinna wynosić 500 – 1000 m. Kontrole trwające co najmniej 8 min na każdym punkcie można prowadzić od około jednej godziny po zachodzie słońca do świtu. Dopuszcza się stosowanie stymulacji głosowej w przypadku niskiej aktywności gatunku</w:t>
      </w:r>
      <w:r w:rsidR="00802121" w:rsidRPr="005D0B11">
        <w:rPr>
          <w:rFonts w:ascii="Times New Roman" w:hAnsi="Times New Roman"/>
          <w:bCs/>
          <w:iCs/>
          <w:lang w:eastAsia="pl-PL"/>
        </w:rPr>
        <w:t xml:space="preserve">.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perkozka </w:t>
      </w:r>
      <w:r w:rsidR="00802121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802121" w:rsidRPr="005D0B11">
        <w:rPr>
          <w:rFonts w:ascii="Times New Roman" w:hAnsi="Times New Roman"/>
          <w:bCs/>
          <w:iCs/>
          <w:lang w:eastAsia="pl-PL"/>
        </w:rPr>
        <w:t>należy przeprowadzić trzy kontrole: pierwszą w okresie 10 – 20 maja, drugą w okresie 1 – 20 czerwca, trzecią w okresie 1 – 10 lipca. Obserwacje prowadzić z punktów obserwacyjnych rozlokowanych na brzegach zbiorników co 200 – 400 m. Dopuszcza się wykorzystanie sprzętu pływającego w przypadku utrudnionego dostępu do linii brzegowej i ograniczonej widoczności na lu</w:t>
      </w:r>
      <w:r w:rsidR="009C236D" w:rsidRPr="005D0B11">
        <w:rPr>
          <w:rFonts w:ascii="Times New Roman" w:hAnsi="Times New Roman"/>
          <w:bCs/>
          <w:iCs/>
          <w:lang w:eastAsia="pl-PL"/>
        </w:rPr>
        <w:t>s</w:t>
      </w:r>
      <w:r w:rsidR="00802121" w:rsidRPr="005D0B11">
        <w:rPr>
          <w:rFonts w:ascii="Times New Roman" w:hAnsi="Times New Roman"/>
          <w:bCs/>
          <w:iCs/>
          <w:lang w:eastAsia="pl-PL"/>
        </w:rPr>
        <w:t xml:space="preserve">tro wody.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eastAsia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lęgowej populacji gęgawy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665CC3" w:rsidRPr="005D0B11">
        <w:rPr>
          <w:rFonts w:ascii="Times New Roman" w:eastAsia="Times New Roman" w:hAnsi="Times New Roman"/>
          <w:bCs/>
          <w:iCs/>
          <w:lang w:eastAsia="pl-PL"/>
        </w:rPr>
        <w:t xml:space="preserve">należy wykonać 3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kontrole terenowe wczesną wiosną w okresie marzec – kwiecień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podczas zajmowania stanowisk lęgowych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 oraz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 xml:space="preserve">3 kontrole 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późną wiosną w okresie maj – czerwiec 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(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>liczenie ptaków wodzących młode</w:t>
      </w:r>
      <w:r w:rsidR="00BB3CC2" w:rsidRPr="005D0B11">
        <w:rPr>
          <w:rFonts w:ascii="Times New Roman" w:eastAsia="Times New Roman" w:hAnsi="Times New Roman"/>
          <w:bCs/>
          <w:iCs/>
          <w:lang w:eastAsia="pl-PL"/>
        </w:rPr>
        <w:t>)</w:t>
      </w:r>
      <w:r w:rsidR="009124C2" w:rsidRPr="005D0B11">
        <w:rPr>
          <w:rFonts w:ascii="Times New Roman" w:eastAsia="Times New Roman" w:hAnsi="Times New Roman"/>
          <w:bCs/>
          <w:iCs/>
          <w:lang w:eastAsia="pl-PL"/>
        </w:rPr>
        <w:t xml:space="preserve">. Inwentaryzacją należy objąć wszystkie potencjalne siedliska gatunku położone w granicach obszaru Natura 2000 </w:t>
      </w:r>
      <w:r w:rsidR="00F84DDF" w:rsidRPr="005D0B11">
        <w:rPr>
          <w:rFonts w:ascii="Times New Roman" w:eastAsia="Times New Roman" w:hAnsi="Times New Roman"/>
          <w:bCs/>
          <w:iCs/>
          <w:lang w:eastAsia="pl-PL"/>
        </w:rPr>
        <w:t>Bory Tucholskie PLB220009 na terenie województwa kujawsko-pomorskiego.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krakwy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</w:t>
      </w:r>
      <w:r w:rsidR="009C236D" w:rsidRPr="005D0B11">
        <w:rPr>
          <w:rFonts w:ascii="Times New Roman" w:hAnsi="Times New Roman"/>
          <w:bCs/>
          <w:iCs/>
          <w:lang w:eastAsia="pl-PL"/>
        </w:rPr>
        <w:lastRenderedPageBreak/>
        <w:t xml:space="preserve">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cyraneczki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cyranki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- </w:t>
      </w:r>
      <w:r w:rsidR="009C236D" w:rsidRPr="005D0B11">
        <w:rPr>
          <w:rFonts w:ascii="Times New Roman" w:hAnsi="Times New Roman"/>
          <w:bCs/>
          <w:iCs/>
          <w:lang w:eastAsia="pl-PL"/>
        </w:rPr>
        <w:t xml:space="preserve">należy przeprowadzić trzy kontrole: pierwszą w okresie 10 – 20 kwietnia, drugą w okresie 21 kwietnia – 5 maja, trzecią w okresie 6 – 15 maja. Obserwacje prowadzić z punktów obserwacyjnych rozlokowanych na brzegach zbiorników co 200 – 500 m. Dopuszcza się wykorzystanie sprzętu pływającego w przypadku utrudnionego dostępu do linii brzegowej i ograniczonej widoczności na lustro wody. Obserwacje można prowadzić od świtu do godziny 12:00. Zaleca się stosowanie stymulacji głosowej. </w:t>
      </w:r>
      <w:r w:rsidR="009C236D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>nwentaryzacj</w:t>
      </w:r>
      <w:r w:rsidR="00DC2ED1" w:rsidRPr="005D0B11">
        <w:rPr>
          <w:rFonts w:ascii="Times New Roman" w:hAnsi="Times New Roman"/>
          <w:bCs/>
          <w:iCs/>
          <w:lang w:eastAsia="pl-PL"/>
        </w:rPr>
        <w:t>i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lęgowej populacji </w:t>
      </w:r>
      <w:r w:rsidR="00DC2ED1" w:rsidRPr="005D0B11">
        <w:rPr>
          <w:rFonts w:ascii="Times New Roman" w:hAnsi="Times New Roman"/>
          <w:bCs/>
          <w:iCs/>
          <w:lang w:eastAsia="pl-PL"/>
        </w:rPr>
        <w:t>brodźca piskliwego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>–</w:t>
      </w:r>
      <w:r w:rsidR="009124C2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9203D4" w:rsidRPr="005D0B11">
        <w:rPr>
          <w:rFonts w:ascii="Times New Roman" w:hAnsi="Times New Roman"/>
          <w:bCs/>
          <w:iCs/>
          <w:lang w:eastAsia="pl-PL"/>
        </w:rPr>
        <w:t xml:space="preserve">należy wykonać dwie kontrole: pierwszą w okresie 25 kwietnia – 10 maja, drugą w okresie 20 maja – 10 czerwca. Obserwacje prowadzić z </w:t>
      </w:r>
      <w:proofErr w:type="spellStart"/>
      <w:r w:rsidR="009203D4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9203D4" w:rsidRPr="005D0B11">
        <w:rPr>
          <w:rFonts w:ascii="Times New Roman" w:hAnsi="Times New Roman"/>
          <w:bCs/>
          <w:iCs/>
          <w:lang w:eastAsia="pl-PL"/>
        </w:rPr>
        <w:t xml:space="preserve"> wyznaczonych wzdłuż linii brzegowej cieków (o szerokości powyżej 7 m) i zbiorników lub z wykorzystaniem sprzętu pływającego. Obserwacje można prowadzić od świtu do godziny 11:00. </w:t>
      </w:r>
      <w:r w:rsidR="009203D4" w:rsidRPr="005D0B11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203D4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I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nwentaryzacji migrującej populacji żurawia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>-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 xml:space="preserve">liczenie ptaków </w:t>
      </w:r>
      <w:r w:rsidR="000A04FA" w:rsidRPr="005D0B11">
        <w:rPr>
          <w:rFonts w:ascii="Times New Roman" w:eastAsia="Times New Roman" w:hAnsi="Times New Roman"/>
          <w:bCs/>
          <w:iCs/>
          <w:lang w:eastAsia="pl-PL"/>
        </w:rPr>
        <w:t>na noclegowiskach oraz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na żerowiskach. Należy wykonać 3 liczenia w trakcie jesiennej migracji w okresie od 5 września do 25 października w odstępach ok. 15 dni. W trakcie wiosennej migracji należy wykonać 2 liczenia w okresie 10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 xml:space="preserve"> - </w:t>
      </w:r>
      <w:r w:rsidR="00A20910" w:rsidRPr="00522F09">
        <w:rPr>
          <w:rFonts w:ascii="Times New Roman" w:eastAsia="Times New Roman" w:hAnsi="Times New Roman"/>
          <w:bCs/>
          <w:iCs/>
          <w:lang w:eastAsia="pl-PL"/>
        </w:rPr>
        <w:t xml:space="preserve">25 kwietnia. 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 xml:space="preserve">Obserwacje na żerowiskach należy prowadzić z </w:t>
      </w:r>
      <w:proofErr w:type="spellStart"/>
      <w:r w:rsidR="00342CC2" w:rsidRPr="00522F09">
        <w:rPr>
          <w:rFonts w:ascii="Times New Roman" w:eastAsia="Times New Roman" w:hAnsi="Times New Roman"/>
          <w:bCs/>
          <w:iCs/>
          <w:lang w:eastAsia="pl-PL"/>
        </w:rPr>
        <w:t>transektów</w:t>
      </w:r>
      <w:proofErr w:type="spellEnd"/>
      <w:r w:rsidR="00342CC2" w:rsidRPr="00522F09">
        <w:rPr>
          <w:rFonts w:ascii="Times New Roman" w:eastAsia="Times New Roman" w:hAnsi="Times New Roman"/>
          <w:bCs/>
          <w:iCs/>
          <w:lang w:eastAsia="pl-PL"/>
        </w:rPr>
        <w:t xml:space="preserve"> lub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>,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z których możliwe będzie zinwentaryzowanie całej badanej powierzchni, a na noclegowiskach z punktów obserwacyjnych. Obserwacje na noclegowiskach prowadzić wieczorem - od około 3 godzin przed zapadnięciem zmroku do zapadnięcia ciemności lub rano - od świtu przez 2 – 3 godziny.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Obserwacje na żerowiskach można prowadzić w ciągu całego dnia. Inwentaryzacją należy objąć wszystkie potencjalne żerowiska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>i noclegowiska gatunku położone w granicach obszaru Natura 2000 Bory Tucholskie PLB220009 na terenie województwa kujawsko-pomorskiego</w:t>
      </w:r>
      <w:r w:rsidR="00342CC2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nwentaryzacji migrującej łabędzia krzykliwego </w:t>
      </w:r>
      <w:r w:rsidR="00342CC2" w:rsidRPr="005D0B11">
        <w:rPr>
          <w:rFonts w:ascii="Times New Roman" w:hAnsi="Times New Roman"/>
          <w:bCs/>
          <w:iCs/>
          <w:lang w:eastAsia="pl-PL"/>
        </w:rPr>
        <w:t>–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hAnsi="Times New Roman"/>
          <w:bCs/>
          <w:iCs/>
          <w:lang w:eastAsia="pl-PL"/>
        </w:rPr>
        <w:t>należy wykonać po 2 kontrole w miesiącach: marzec, kwiecień, październik, listopad</w:t>
      </w:r>
      <w:r w:rsidR="00622B84" w:rsidRPr="005D0B11">
        <w:rPr>
          <w:rFonts w:ascii="Times New Roman" w:hAnsi="Times New Roman"/>
          <w:bCs/>
          <w:iCs/>
          <w:lang w:eastAsia="pl-PL"/>
        </w:rPr>
        <w:t xml:space="preserve">, w odstępach czasu co 10 – 20 dni. Obserwacje prowadzić z </w:t>
      </w:r>
      <w:proofErr w:type="spellStart"/>
      <w:r w:rsidR="00622B84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622B84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</w:t>
      </w:r>
      <w:r w:rsidR="00622B84" w:rsidRPr="005D0B11">
        <w:rPr>
          <w:rFonts w:ascii="Times New Roman" w:hAnsi="Times New Roman"/>
          <w:bCs/>
          <w:iCs/>
          <w:lang w:eastAsia="pl-PL"/>
        </w:rPr>
        <w:lastRenderedPageBreak/>
        <w:t xml:space="preserve">pola uprawne i zbiorniki wodne </w:t>
      </w:r>
      <w:r w:rsidR="00622B84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622B84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nwentaryzacji zimującej populacji łabędzia niemego – należy wykonać po 2 kontrole w miesiącach: grudzień, styczeń luty, w odstępach czasu co 10 – 20 dni. Obserwacje prowadzić z </w:t>
      </w:r>
      <w:proofErr w:type="spellStart"/>
      <w:r w:rsidR="00F41BC2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F41BC2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pola uprawne (bez pokrywy śnieżnej) i zbiorniki wodne (przynajmniej częściowo 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:rsidR="009124C2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342CC2" w:rsidRPr="005D0B11">
        <w:rPr>
          <w:rFonts w:ascii="Times New Roman" w:hAnsi="Times New Roman"/>
          <w:bCs/>
          <w:iCs/>
          <w:lang w:eastAsia="pl-PL"/>
        </w:rPr>
        <w:t>nwentaryzacji zimującej populacji łabędzia krzykliwego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- należy wykonać po 2 kontrole w miesiącach: grudzień, styczeń</w:t>
      </w:r>
      <w:r w:rsidR="002C4554">
        <w:rPr>
          <w:rFonts w:ascii="Times New Roman" w:hAnsi="Times New Roman"/>
          <w:bCs/>
          <w:iCs/>
          <w:lang w:eastAsia="pl-PL"/>
        </w:rPr>
        <w:t>,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luty, w odstępach czasu co 10 – 20 dni. Obserwacje prowadzić z </w:t>
      </w:r>
      <w:proofErr w:type="spellStart"/>
      <w:r w:rsidR="00F41BC2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F41BC2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pola uprawne (bez pokrywy śnieżnej) i zbiorniki wodne (przynajmniej częściowo 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:rsidR="005D0B11" w:rsidRPr="005D0B11" w:rsidRDefault="005D0B11" w:rsidP="005D0B11">
      <w:pPr>
        <w:pStyle w:val="Akapitzlist"/>
        <w:widowControl w:val="0"/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</w:p>
    <w:p w:rsidR="009E12E4" w:rsidRPr="00A353D0" w:rsidRDefault="009E12E4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Badania terenowe oraz analizy należy prowadzić w oparciu o następujące warunki: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A353D0">
        <w:rPr>
          <w:rFonts w:ascii="Times New Roman" w:hAnsi="Times New Roman"/>
        </w:rPr>
        <w:t>ontroli poświęconych populacjom migrującym oraz zimującym nie należy prowadzić podczas słabej widoczności oraz przy silnym wietrze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5D0B11">
        <w:rPr>
          <w:rFonts w:ascii="Times New Roman" w:hAnsi="Times New Roman"/>
        </w:rPr>
        <w:t>ontroli poświęconej ptakom lęgowym nie należy prowadzić przy silnym wietrze oraz podczas opadów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 xml:space="preserve">ykonując inwentaryzację lęgowych gatunków ptaków należy stosować zalecenia zawarte w poradniku metodycznym: Chylarecki P., Sikora A., </w:t>
      </w:r>
      <w:proofErr w:type="spellStart"/>
      <w:r w:rsidR="009E12E4" w:rsidRPr="005D0B11">
        <w:rPr>
          <w:rFonts w:ascii="Times New Roman" w:hAnsi="Times New Roman"/>
        </w:rPr>
        <w:t>Cenian</w:t>
      </w:r>
      <w:proofErr w:type="spellEnd"/>
      <w:r w:rsidR="009E12E4" w:rsidRPr="005D0B11">
        <w:rPr>
          <w:rFonts w:ascii="Times New Roman" w:hAnsi="Times New Roman"/>
        </w:rPr>
        <w:t xml:space="preserve"> Z. Chodkiewicz T. (red.) 2015. Monitoring ptaków lęgowych. Poradnik metodyczny. Wydanie 2. GIOŚ. Warszawa</w:t>
      </w:r>
      <w:r>
        <w:rPr>
          <w:rFonts w:ascii="Times New Roman" w:hAnsi="Times New Roman"/>
        </w:rPr>
        <w:t>.</w:t>
      </w:r>
    </w:p>
    <w:p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 xml:space="preserve">ykonując inwentaryzację migrujących populacji ptaków należy stosować zalecenia zawarte w poradniku metodycznym: Sikora A., Chylarecki P., Meissner W., </w:t>
      </w:r>
      <w:proofErr w:type="spellStart"/>
      <w:r w:rsidR="009E12E4" w:rsidRPr="005D0B11">
        <w:rPr>
          <w:rFonts w:ascii="Times New Roman" w:hAnsi="Times New Roman"/>
        </w:rPr>
        <w:t>Neubauer</w:t>
      </w:r>
      <w:proofErr w:type="spellEnd"/>
      <w:r w:rsidR="009E12E4" w:rsidRPr="005D0B11">
        <w:rPr>
          <w:rFonts w:ascii="Times New Roman" w:hAnsi="Times New Roman"/>
        </w:rPr>
        <w:t xml:space="preserve"> G. (red.) 2011. Monitoring ptaków wodno-błotnych w okresie wędrówek. Poradnik metodyczny. GDOŚ. Warszawa;</w:t>
      </w:r>
    </w:p>
    <w:p w:rsidR="009E12E4" w:rsidRP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E12E4" w:rsidRPr="005D0B11">
        <w:rPr>
          <w:rFonts w:ascii="Times New Roman" w:hAnsi="Times New Roman"/>
        </w:rPr>
        <w:t xml:space="preserve">a potrzeby określenia lęgowości ptaków należy przyjąć kryteria lęgowości za Chylarecki P., Sikora A., </w:t>
      </w:r>
      <w:proofErr w:type="spellStart"/>
      <w:r w:rsidR="009E12E4" w:rsidRPr="005D0B11">
        <w:rPr>
          <w:rFonts w:ascii="Times New Roman" w:hAnsi="Times New Roman"/>
        </w:rPr>
        <w:t>Cenian</w:t>
      </w:r>
      <w:proofErr w:type="spellEnd"/>
      <w:r w:rsidR="009E12E4" w:rsidRPr="005D0B11">
        <w:rPr>
          <w:rFonts w:ascii="Times New Roman" w:hAnsi="Times New Roman"/>
        </w:rPr>
        <w:t xml:space="preserve"> Z. (red.). 2009. Monitoring ptaków lęgowych. Poradnik metodyczny dotyczący gatunków chronionych Dyrektywą Ptasią. GIOŚ. Warszawa.</w:t>
      </w:r>
    </w:p>
    <w:p w:rsidR="005D0B11" w:rsidRDefault="005D0B11" w:rsidP="005D0B11">
      <w:pPr>
        <w:spacing w:line="276" w:lineRule="auto"/>
        <w:jc w:val="both"/>
      </w:pPr>
    </w:p>
    <w:p w:rsidR="009F4F24" w:rsidRPr="005D0B11" w:rsidRDefault="009F4F24" w:rsidP="005D0B11">
      <w:pPr>
        <w:pStyle w:val="Akapitzlist"/>
        <w:numPr>
          <w:ilvl w:val="1"/>
          <w:numId w:val="29"/>
        </w:numPr>
        <w:spacing w:after="0" w:line="276" w:lineRule="auto"/>
        <w:ind w:left="788" w:hanging="431"/>
        <w:jc w:val="both"/>
        <w:rPr>
          <w:rFonts w:ascii="Times New Roman" w:hAnsi="Times New Roman"/>
        </w:rPr>
      </w:pPr>
      <w:r w:rsidRPr="005D0B11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:rsidR="005D0B11" w:rsidRPr="00DD42F2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bCs/>
          <w:iCs/>
          <w:sz w:val="22"/>
          <w:szCs w:val="22"/>
        </w:rPr>
        <w:t>Wykonawca ustali</w:t>
      </w:r>
      <w:r w:rsidRPr="00A353D0">
        <w:rPr>
          <w:bCs/>
          <w:iCs/>
          <w:sz w:val="22"/>
          <w:szCs w:val="22"/>
          <w:shd w:val="clear" w:color="auto" w:fill="FFFFFF"/>
        </w:rPr>
        <w:t xml:space="preserve"> </w:t>
      </w:r>
      <w:r w:rsidRPr="00A353D0">
        <w:rPr>
          <w:bCs/>
          <w:iCs/>
          <w:sz w:val="22"/>
          <w:szCs w:val="22"/>
        </w:rPr>
        <w:t xml:space="preserve">listę zagrożeń i następnie określi ich charakter oraz wpływ na gatunki i siedliska, dokonując powiązania relacji </w:t>
      </w:r>
      <w:proofErr w:type="spellStart"/>
      <w:r w:rsidRPr="00A353D0">
        <w:rPr>
          <w:bCs/>
          <w:iCs/>
          <w:sz w:val="22"/>
          <w:szCs w:val="22"/>
        </w:rPr>
        <w:t>przyczynowo-skutkowych</w:t>
      </w:r>
      <w:proofErr w:type="spellEnd"/>
      <w:r w:rsidRPr="00A353D0">
        <w:rPr>
          <w:bCs/>
          <w:iCs/>
          <w:sz w:val="22"/>
          <w:szCs w:val="22"/>
        </w:rPr>
        <w:t xml:space="preserve"> ze wskaźnikami decydującymi o ich stanie ochrony.</w:t>
      </w:r>
      <w:r w:rsidRPr="00A353D0">
        <w:rPr>
          <w:sz w:val="22"/>
          <w:szCs w:val="22"/>
        </w:rPr>
        <w:t xml:space="preserve"> Zagrożenia należy klasyfikować zgodnie z załącznikiem nr 5 do Instrukcji wypełniania Standardowego Formularza Danych obszaru Natura 2000. Wersja 2012.1</w:t>
      </w:r>
      <w:r w:rsidR="00EE7AFC" w:rsidRPr="00A353D0">
        <w:rPr>
          <w:sz w:val="22"/>
          <w:szCs w:val="22"/>
        </w:rPr>
        <w:t xml:space="preserve">, </w:t>
      </w:r>
      <w:bookmarkStart w:id="2" w:name="_Hlk501526722"/>
      <w:r w:rsidR="005D0B11">
        <w:rPr>
          <w:sz w:val="22"/>
          <w:szCs w:val="22"/>
        </w:rPr>
        <w:t>dostępnej pod linkiem</w:t>
      </w:r>
    </w:p>
    <w:p w:rsidR="00EE7AFC" w:rsidRPr="00A353D0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  <w:r w:rsidRPr="00DD42F2">
        <w:rPr>
          <w:sz w:val="22"/>
          <w:szCs w:val="22"/>
        </w:rPr>
        <w:t>http://www.gdos.gov.pl/files/artykuly/5067/instrukcja_wypelniania_sdf.zip</w:t>
      </w:r>
      <w:r>
        <w:rPr>
          <w:sz w:val="22"/>
          <w:szCs w:val="22"/>
        </w:rPr>
        <w:t>.</w:t>
      </w:r>
    </w:p>
    <w:bookmarkEnd w:id="2"/>
    <w:p w:rsidR="005D0B11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sz w:val="22"/>
          <w:szCs w:val="22"/>
        </w:rPr>
        <w:t>Wykonawca zidentyfikuje zagrożenia istniejące i potencjalne dla zachowania lub osiągnięcia właściwego stanu ochrony gatunków, zgodnie z art. 28 ust. 10 pkt 2 ustawy o ochronie przyrody</w:t>
      </w:r>
      <w:r w:rsidR="005D0B11">
        <w:rPr>
          <w:sz w:val="22"/>
          <w:szCs w:val="22"/>
        </w:rPr>
        <w:t>.</w:t>
      </w:r>
    </w:p>
    <w:p w:rsidR="005D0B11" w:rsidRDefault="00174AFF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5D0B11">
        <w:rPr>
          <w:iCs/>
          <w:sz w:val="22"/>
          <w:szCs w:val="22"/>
        </w:rPr>
        <w:t>Przy analizie</w:t>
      </w:r>
      <w:r w:rsidR="009F4F24" w:rsidRPr="005D0B11">
        <w:rPr>
          <w:iCs/>
          <w:sz w:val="22"/>
          <w:szCs w:val="22"/>
        </w:rPr>
        <w:t xml:space="preserve"> identyfikacji zagrożeń Wykonawca </w:t>
      </w:r>
      <w:r w:rsidRPr="005D0B11">
        <w:rPr>
          <w:iCs/>
          <w:sz w:val="22"/>
          <w:szCs w:val="22"/>
        </w:rPr>
        <w:t>uwzględni między innymi</w:t>
      </w:r>
      <w:r w:rsidR="005D0B11">
        <w:rPr>
          <w:iCs/>
          <w:sz w:val="22"/>
          <w:szCs w:val="22"/>
        </w:rPr>
        <w:t>:</w:t>
      </w:r>
    </w:p>
    <w:p w:rsidR="005D0B11" w:rsidRPr="005D0B11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istniejącą infrastrukturę mogącą przyczynić się do pogorszenia stanu populacji gatunków w obszarze lub stanu zachowania ich siedlisk,</w:t>
      </w:r>
    </w:p>
    <w:p w:rsidR="0053709A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 xml:space="preserve">- realizację lub plany realizacji przedsięwzięć mogących przyczynić się do pogorszenia </w:t>
      </w:r>
      <w:r w:rsidRPr="005D0B11">
        <w:rPr>
          <w:sz w:val="22"/>
          <w:szCs w:val="22"/>
        </w:rPr>
        <w:lastRenderedPageBreak/>
        <w:t>stanu populacji gatunków w obszarze lub stanu zachowania ich siedlisk</w:t>
      </w:r>
      <w:r w:rsidR="00174AFF" w:rsidRPr="005D0B11">
        <w:rPr>
          <w:sz w:val="22"/>
          <w:szCs w:val="22"/>
        </w:rPr>
        <w:t>.</w:t>
      </w:r>
    </w:p>
    <w:p w:rsidR="005D0B11" w:rsidRPr="005D0B11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</w:p>
    <w:p w:rsidR="00600B85" w:rsidRPr="00A353D0" w:rsidRDefault="0018166A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celów dział</w:t>
      </w:r>
      <w:r w:rsidR="009D193E" w:rsidRPr="00A353D0">
        <w:rPr>
          <w:rFonts w:ascii="Times New Roman" w:hAnsi="Times New Roman"/>
        </w:rPr>
        <w:t>ań</w:t>
      </w:r>
      <w:r w:rsidRPr="00A353D0">
        <w:rPr>
          <w:rFonts w:ascii="Times New Roman" w:hAnsi="Times New Roman"/>
        </w:rPr>
        <w:t xml:space="preserve"> ochronnych dla zinwentaryzowanych przedmiotów ochrony</w:t>
      </w:r>
      <w:r w:rsidR="005D0B11">
        <w:rPr>
          <w:rFonts w:ascii="Times New Roman" w:hAnsi="Times New Roman"/>
        </w:rPr>
        <w:t>:</w:t>
      </w:r>
    </w:p>
    <w:p w:rsid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kern w:val="2"/>
        </w:rPr>
        <w:t>W</w:t>
      </w:r>
      <w:r w:rsidRPr="00A353D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przedmiotów ochrony </w:t>
      </w:r>
      <w:r w:rsidR="00AB2EFA">
        <w:rPr>
          <w:rFonts w:ascii="Times New Roman" w:hAnsi="Times New Roman"/>
          <w:kern w:val="2"/>
        </w:rPr>
        <w:t xml:space="preserve">dla ww. </w:t>
      </w:r>
      <w:r w:rsidRPr="00A353D0">
        <w:rPr>
          <w:rFonts w:ascii="Times New Roman" w:hAnsi="Times New Roman"/>
          <w:kern w:val="2"/>
        </w:rPr>
        <w:t>obszaru Natura 2000</w:t>
      </w:r>
      <w:r w:rsidR="00174AFF" w:rsidRPr="00A353D0">
        <w:rPr>
          <w:rFonts w:ascii="Times New Roman" w:hAnsi="Times New Roman"/>
          <w:kern w:val="2"/>
        </w:rPr>
        <w:t>.</w:t>
      </w:r>
    </w:p>
    <w:p w:rsidR="00AB2EFA" w:rsidRP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B2EFA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:rsidR="00AB2EFA" w:rsidRP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koniecznością utrzymania właściwego stanu ochrony przedmiotów ochrony lub jego osiągnięcia</w:t>
      </w:r>
      <w:r w:rsidR="00AB2EFA" w:rsidRPr="00AB2EFA">
        <w:rPr>
          <w:rFonts w:ascii="Times New Roman" w:hAnsi="Times New Roman"/>
          <w:kern w:val="2"/>
        </w:rPr>
        <w:t>, jeżeli ten stan został oceniony jako niewłaściwy lub zły, dążąc do uzyskania „stanu optymalnego”</w:t>
      </w:r>
      <w:r w:rsidR="009F34FD" w:rsidRPr="00AB2EFA">
        <w:rPr>
          <w:rFonts w:ascii="Times New Roman" w:hAnsi="Times New Roman"/>
          <w:kern w:val="2"/>
        </w:rPr>
        <w:t>;</w:t>
      </w:r>
    </w:p>
    <w:p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AB2EFA">
        <w:rPr>
          <w:rFonts w:ascii="Times New Roman" w:hAnsi="Times New Roman"/>
          <w:kern w:val="2"/>
        </w:rPr>
        <w:t>lat;</w:t>
      </w:r>
    </w:p>
    <w:p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AB2EFA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:rsidR="0053709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możliwością ich monitorowania i weryfikacji.</w:t>
      </w:r>
    </w:p>
    <w:p w:rsidR="00AB2EFA" w:rsidRPr="00AB2EFA" w:rsidRDefault="00AB2EFA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:rsidR="00796949" w:rsidRPr="00A353D0" w:rsidRDefault="00482553" w:rsidP="008C2C8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działań ochronnych dla zinwentaryzowanych przedmiotów ochrony</w:t>
      </w:r>
      <w:r w:rsidR="00C048B3" w:rsidRPr="00A353D0">
        <w:rPr>
          <w:rFonts w:ascii="Times New Roman" w:hAnsi="Times New Roman"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bCs/>
          <w:iCs/>
        </w:rPr>
        <w:t>W</w:t>
      </w:r>
      <w:r w:rsidRPr="00A353D0">
        <w:rPr>
          <w:rFonts w:ascii="Times New Roman" w:hAnsi="Times New Roman"/>
          <w:iCs/>
        </w:rPr>
        <w:t xml:space="preserve">ykonawca określi </w:t>
      </w:r>
      <w:r w:rsidRPr="00A353D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wykonania określonych jednorazowych bądź powtarzalnych zadań ochrony czynnej</w:t>
      </w:r>
      <w:r w:rsidR="00514CB5" w:rsidRPr="008C2C8F">
        <w:rPr>
          <w:rFonts w:ascii="Times New Roman" w:hAnsi="Times New Roman"/>
        </w:rPr>
        <w:t>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BA4BFE" w:rsidRPr="00A353D0">
        <w:rPr>
          <w:rFonts w:ascii="Times New Roman" w:hAnsi="Times New Roman"/>
        </w:rPr>
        <w:t>wdrożenia modyfikacji w stosowanych metodach gospodarowania na gruntach rolniczych, w tym użytkach zielonych</w:t>
      </w:r>
      <w:r w:rsidR="008C2C8F">
        <w:rPr>
          <w:rFonts w:ascii="Times New Roman" w:hAnsi="Times New Roman"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W</w:t>
      </w:r>
      <w:r w:rsidRPr="00A353D0">
        <w:rPr>
          <w:rFonts w:ascii="Times New Roman" w:hAnsi="Times New Roman"/>
          <w:iCs/>
        </w:rPr>
        <w:t>ykonawca określi działania ochronne, które: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8C2C8F" w:rsidRPr="00DC5A12">
        <w:rPr>
          <w:rFonts w:ascii="Times New Roman" w:hAnsi="Times New Roman"/>
          <w:iCs/>
        </w:rPr>
        <w:t>muszą być indywidualnie zaprojektowane i dostosowane do uwarunkowań terenowych i sposobu ich użytkowania</w:t>
      </w:r>
      <w:r w:rsidR="009F34FD" w:rsidRPr="008C2C8F">
        <w:rPr>
          <w:rFonts w:ascii="Times New Roman" w:hAnsi="Times New Roman"/>
          <w:iCs/>
        </w:rPr>
        <w:t>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A353D0">
        <w:rPr>
          <w:rFonts w:ascii="Times New Roman" w:hAnsi="Times New Roman"/>
          <w:iCs/>
          <w:shd w:val="clear" w:color="auto" w:fill="FFFFFF"/>
        </w:rPr>
        <w:t xml:space="preserve">polegają na określeniu ogólnych reguł i procedur gospodarowania (np. ogólnych reguł do stosowania w gospodarce </w:t>
      </w:r>
      <w:r w:rsidR="00BA4BFE" w:rsidRPr="00A353D0">
        <w:rPr>
          <w:rFonts w:ascii="Times New Roman" w:hAnsi="Times New Roman"/>
          <w:iCs/>
          <w:shd w:val="clear" w:color="auto" w:fill="FFFFFF"/>
        </w:rPr>
        <w:t>rolnej</w:t>
      </w:r>
      <w:r w:rsidR="008C2C8F">
        <w:rPr>
          <w:rFonts w:ascii="Times New Roman" w:hAnsi="Times New Roman"/>
          <w:iCs/>
          <w:shd w:val="clear" w:color="auto" w:fill="FFFFFF"/>
        </w:rPr>
        <w:t xml:space="preserve">, </w:t>
      </w:r>
      <w:bookmarkStart w:id="3" w:name="_Hlk2764044"/>
      <w:r w:rsidR="008C2C8F">
        <w:rPr>
          <w:rFonts w:ascii="Times New Roman" w:hAnsi="Times New Roman"/>
          <w:iCs/>
          <w:shd w:val="clear" w:color="auto" w:fill="FFFFFF"/>
        </w:rPr>
        <w:t>leśnej lub rybackiej</w:t>
      </w:r>
      <w:bookmarkEnd w:id="3"/>
      <w:r w:rsidR="009F34FD" w:rsidRPr="00A353D0">
        <w:rPr>
          <w:rFonts w:ascii="Times New Roman" w:hAnsi="Times New Roman"/>
          <w:iCs/>
          <w:shd w:val="clear" w:color="auto" w:fill="FFFFFF"/>
        </w:rPr>
        <w:t>) lub mechanizmów o ogólnym zastosowaniu</w:t>
      </w:r>
      <w:r w:rsidR="008C2C8F">
        <w:rPr>
          <w:rFonts w:ascii="Times New Roman" w:hAnsi="Times New Roman"/>
          <w:iCs/>
          <w:shd w:val="clear" w:color="auto" w:fill="FFFFFF"/>
        </w:rPr>
        <w:t xml:space="preserve"> (np. </w:t>
      </w:r>
      <w:r w:rsidR="008C2C8F" w:rsidRPr="0079202E">
        <w:rPr>
          <w:rFonts w:ascii="Times New Roman" w:hAnsi="Times New Roman"/>
          <w:iCs/>
          <w:shd w:val="clear" w:color="auto" w:fill="FFFFFF"/>
        </w:rPr>
        <w:t>określonych w planach ochrony rezerwatów przyrody</w:t>
      </w:r>
      <w:r w:rsidR="008C2C8F">
        <w:rPr>
          <w:rFonts w:ascii="Times New Roman" w:hAnsi="Times New Roman"/>
          <w:iCs/>
          <w:shd w:val="clear" w:color="auto" w:fill="FFFFFF"/>
        </w:rPr>
        <w:t>)</w:t>
      </w:r>
      <w:r w:rsidR="008C2C8F">
        <w:rPr>
          <w:rFonts w:ascii="Times New Roman" w:hAnsi="Times New Roman"/>
          <w:iCs/>
        </w:rPr>
        <w:t>;</w:t>
      </w:r>
    </w:p>
    <w:p w:rsidR="00796949" w:rsidRPr="00A353D0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A353D0">
        <w:rPr>
          <w:rFonts w:ascii="Times New Roman" w:hAnsi="Times New Roman"/>
          <w:iCs/>
        </w:rPr>
        <w:t xml:space="preserve"> gatunków</w:t>
      </w:r>
      <w:r w:rsidRPr="00A353D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A353D0">
        <w:rPr>
          <w:rFonts w:ascii="Times New Roman" w:hAnsi="Times New Roman"/>
          <w:iCs/>
        </w:rPr>
        <w:t xml:space="preserve">); 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Planując działania ochronne należy określić: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9F34FD" w:rsidRPr="008C2C8F">
        <w:rPr>
          <w:rFonts w:ascii="Times New Roman" w:hAnsi="Times New Roman"/>
          <w:iCs/>
        </w:rPr>
        <w:t>rodzaj działań ochronnych;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zakres prac przewidzianych do realizacji i w razie potrzeby warunki</w:t>
      </w:r>
      <w:r w:rsidR="009F34FD" w:rsidRPr="00A353D0">
        <w:rPr>
          <w:rFonts w:ascii="Times New Roman" w:hAnsi="Times New Roman"/>
          <w:iCs/>
        </w:rPr>
        <w:br/>
        <w:t>co do sposobu ich wykonania;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obszar lub miejsce ich realizacji;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termin lub okres oraz częstotliwość ich realizacji;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szacowane koszty ich realizacji wraz ze sposobem ich szacowania;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 odpowiedzialny za ich wykonanie i monitorowanie (proponowany);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techniczne uwarunkowania realizacji działań;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podmioty, których współdziałanie przy realizacji działań ochronnych</w:t>
      </w:r>
      <w:r w:rsidR="009F34FD" w:rsidRPr="00A353D0">
        <w:rPr>
          <w:rFonts w:ascii="Times New Roman" w:hAnsi="Times New Roman"/>
          <w:iCs/>
        </w:rPr>
        <w:br/>
        <w:t>jest niezbędne;</w:t>
      </w:r>
    </w:p>
    <w:p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E74BD9" w:rsidRPr="00A353D0">
        <w:rPr>
          <w:rFonts w:ascii="Times New Roman" w:hAnsi="Times New Roman"/>
          <w:iCs/>
        </w:rPr>
        <w:t xml:space="preserve">lokalizację </w:t>
      </w:r>
      <w:r w:rsidR="00BA4BFE" w:rsidRPr="00A353D0">
        <w:rPr>
          <w:rFonts w:ascii="Times New Roman" w:hAnsi="Times New Roman"/>
          <w:iCs/>
        </w:rPr>
        <w:t xml:space="preserve">powierzchni, </w:t>
      </w:r>
      <w:r w:rsidR="009F34FD" w:rsidRPr="00A353D0">
        <w:rPr>
          <w:rFonts w:ascii="Times New Roman" w:hAnsi="Times New Roman"/>
          <w:iCs/>
        </w:rPr>
        <w:t xml:space="preserve">punktów </w:t>
      </w:r>
      <w:r w:rsidR="00BA4BFE" w:rsidRPr="00A353D0">
        <w:rPr>
          <w:rFonts w:ascii="Times New Roman" w:hAnsi="Times New Roman"/>
          <w:iCs/>
        </w:rPr>
        <w:t xml:space="preserve">i/lub </w:t>
      </w:r>
      <w:proofErr w:type="spellStart"/>
      <w:r w:rsidR="00BA4BFE" w:rsidRPr="00A353D0">
        <w:rPr>
          <w:rFonts w:ascii="Times New Roman" w:hAnsi="Times New Roman"/>
          <w:iCs/>
        </w:rPr>
        <w:t>transektów</w:t>
      </w:r>
      <w:proofErr w:type="spellEnd"/>
      <w:r w:rsidR="00BA4BFE" w:rsidRPr="00A353D0">
        <w:rPr>
          <w:rFonts w:ascii="Times New Roman" w:hAnsi="Times New Roman"/>
          <w:iCs/>
        </w:rPr>
        <w:t xml:space="preserve"> </w:t>
      </w:r>
      <w:r w:rsidR="009F34FD" w:rsidRPr="00A353D0">
        <w:rPr>
          <w:rFonts w:ascii="Times New Roman" w:hAnsi="Times New Roman"/>
          <w:iCs/>
        </w:rPr>
        <w:t>monitoringowych</w:t>
      </w:r>
      <w:r w:rsidR="00514CB5" w:rsidRPr="00A353D0">
        <w:rPr>
          <w:rFonts w:ascii="Times New Roman" w:hAnsi="Times New Roman"/>
          <w:iCs/>
        </w:rPr>
        <w:t>;</w:t>
      </w:r>
    </w:p>
    <w:p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lastRenderedPageBreak/>
        <w:t>W</w:t>
      </w:r>
      <w:r w:rsidRPr="00A353D0">
        <w:rPr>
          <w:rFonts w:ascii="Times New Roman" w:hAnsi="Times New Roman"/>
        </w:rPr>
        <w:t>skazując podmiot odpowiedzialny za wykonanie działań ochronnych należy brać pod uwagę: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zarządcę lub właściciela terenu objętego działaniami ochronnymi;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</w:t>
      </w:r>
      <w:r w:rsidR="009F34FD" w:rsidRPr="00A353D0">
        <w:rPr>
          <w:rFonts w:ascii="Times New Roman" w:hAnsi="Times New Roman"/>
        </w:rPr>
        <w:t>prawującego nadzór nad obszarem;</w:t>
      </w:r>
    </w:p>
    <w:p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9F34FD" w:rsidRPr="00A353D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:rsidR="009F34FD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A353D0">
        <w:rPr>
          <w:rFonts w:ascii="Times New Roman" w:hAnsi="Times New Roman"/>
          <w:bCs/>
          <w:iCs/>
        </w:rPr>
        <w:t xml:space="preserve">- </w:t>
      </w:r>
      <w:r w:rsidR="009F34FD" w:rsidRPr="00A353D0">
        <w:rPr>
          <w:rFonts w:ascii="Times New Roman" w:hAnsi="Times New Roman"/>
          <w:bCs/>
          <w:iCs/>
        </w:rPr>
        <w:t>inne podmioty za ich zgodą.</w:t>
      </w:r>
    </w:p>
    <w:p w:rsid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8C2C8F" w:rsidRDefault="00DF6ACB" w:rsidP="008C2C8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Standard GIS</w:t>
      </w:r>
      <w:r w:rsidR="008C2C8F">
        <w:rPr>
          <w:rFonts w:ascii="Times New Roman" w:hAnsi="Times New Roman"/>
        </w:rPr>
        <w:t>: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Cyfrowe warstwy wektorowe powinny spełniać następujące wymagania: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213E93" w:rsidRPr="00213E93">
        <w:rPr>
          <w:rFonts w:ascii="Times New Roman" w:hAnsi="Times New Roman"/>
        </w:rPr>
        <w:t xml:space="preserve">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powierzchni/punktów/ </w:t>
      </w:r>
      <w:proofErr w:type="spellStart"/>
      <w:r w:rsidR="00213E93" w:rsidRPr="00213E93">
        <w:rPr>
          <w:rFonts w:ascii="Times New Roman" w:hAnsi="Times New Roman"/>
        </w:rPr>
        <w:t>transektów</w:t>
      </w:r>
      <w:proofErr w:type="spellEnd"/>
      <w:r w:rsidR="00213E93" w:rsidRPr="00213E93">
        <w:rPr>
          <w:rFonts w:ascii="Times New Roman" w:hAnsi="Times New Roman"/>
        </w:rPr>
        <w:t xml:space="preserve"> do prowadzenia badań monitoringowych, lokalizację zagrożeń i działań ochronnych w obszarze Natura 2000</w:t>
      </w:r>
      <w:r w:rsidRPr="008C2C8F">
        <w:rPr>
          <w:rFonts w:ascii="Times New Roman" w:hAnsi="Times New Roman"/>
        </w:rPr>
        <w:t>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układ współrzędnych PL-1992 (EPSG: 2180);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format zapisu warstw wektorowych to ESRI </w:t>
      </w:r>
      <w:proofErr w:type="spellStart"/>
      <w:r w:rsidRPr="008C2C8F">
        <w:rPr>
          <w:rFonts w:ascii="Times New Roman" w:hAnsi="Times New Roman"/>
        </w:rPr>
        <w:t>shapefile</w:t>
      </w:r>
      <w:proofErr w:type="spellEnd"/>
      <w:r w:rsidRPr="008C2C8F">
        <w:rPr>
          <w:rFonts w:ascii="Times New Roman" w:hAnsi="Times New Roman"/>
        </w:rPr>
        <w:t xml:space="preserve"> (*.</w:t>
      </w:r>
      <w:proofErr w:type="spellStart"/>
      <w:r w:rsidRPr="008C2C8F">
        <w:rPr>
          <w:rFonts w:ascii="Times New Roman" w:hAnsi="Times New Roman"/>
        </w:rPr>
        <w:t>shp</w:t>
      </w:r>
      <w:proofErr w:type="spellEnd"/>
      <w:r w:rsidRPr="008C2C8F">
        <w:rPr>
          <w:rFonts w:ascii="Times New Roman" w:hAnsi="Times New Roman"/>
        </w:rPr>
        <w:t>);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</w:p>
    <w:p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:rsidR="00E608E7" w:rsidRDefault="004E0F24" w:rsidP="00E608E7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Dokumentacja</w:t>
      </w:r>
      <w:r w:rsidR="008C2C8F">
        <w:rPr>
          <w:rFonts w:ascii="Times New Roman" w:hAnsi="Times New Roman"/>
        </w:rPr>
        <w:t>:</w:t>
      </w:r>
    </w:p>
    <w:p w:rsidR="004E0F24" w:rsidRPr="00E608E7" w:rsidRDefault="004E0F24" w:rsidP="00E608E7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E608E7" w:rsidRDefault="00F41BC2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Zawartość opracowania tekstowego:</w:t>
      </w:r>
    </w:p>
    <w:p w:rsidR="00E608E7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wypełniony załącznik nr </w:t>
      </w:r>
      <w:r w:rsidR="00E608E7">
        <w:rPr>
          <w:rFonts w:ascii="Times New Roman" w:hAnsi="Times New Roman"/>
        </w:rPr>
        <w:t>1</w:t>
      </w:r>
      <w:r w:rsidRPr="00E608E7">
        <w:rPr>
          <w:rFonts w:ascii="Times New Roman" w:hAnsi="Times New Roman"/>
        </w:rPr>
        <w:t xml:space="preserve"> do </w:t>
      </w:r>
      <w:r w:rsidR="00213E93">
        <w:rPr>
          <w:rFonts w:ascii="Times New Roman" w:hAnsi="Times New Roman"/>
        </w:rPr>
        <w:t>opisu przedmiotu zamówienia</w:t>
      </w:r>
      <w:r w:rsidRPr="00E608E7">
        <w:rPr>
          <w:rFonts w:ascii="Times New Roman" w:hAnsi="Times New Roman"/>
        </w:rPr>
        <w:t xml:space="preserve"> – Szablon dokumentacji dot. uzupełnienia stanu wiedzy o przedmiotach ochrony w obszarze Natura 2000 Bory Tucholskie PLB220009</w:t>
      </w:r>
      <w:r w:rsidR="00E608E7">
        <w:rPr>
          <w:rFonts w:ascii="Times New Roman" w:hAnsi="Times New Roman"/>
        </w:rPr>
        <w:t>;</w:t>
      </w:r>
    </w:p>
    <w:p w:rsidR="00F41BC2" w:rsidRPr="00A353D0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załączniki przedstawiające wyniki badań terenowych</w:t>
      </w:r>
    </w:p>
    <w:p w:rsidR="004E0F24" w:rsidRPr="00A353D0" w:rsidRDefault="004E0F24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Sposób opracowania przedmiotu umowy:</w:t>
      </w:r>
    </w:p>
    <w:p w:rsidR="00E608E7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Opracowanie w formie wydruków, powinno spełniać następujące wymagania: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- należy stosować czcionkę Times New Roman 12 pkt, marginesy 2,5 cm oraz</w:t>
      </w:r>
      <w:r w:rsidR="00514CB5" w:rsidRPr="00E608E7">
        <w:rPr>
          <w:rFonts w:ascii="Times New Roman" w:hAnsi="Times New Roman"/>
        </w:rPr>
        <w:t xml:space="preserve"> </w:t>
      </w:r>
      <w:r w:rsidRPr="00E608E7">
        <w:rPr>
          <w:rFonts w:ascii="Times New Roman" w:hAnsi="Times New Roman"/>
        </w:rPr>
        <w:t xml:space="preserve">margines na oprawę dodatkowo 0,5 cm;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format dokumentacji: A4; </w:t>
      </w:r>
    </w:p>
    <w:p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dokumentację należy sporządzić w języku polskim;</w:t>
      </w:r>
    </w:p>
    <w:p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- dokumentację należy przedłożyć w trzech</w:t>
      </w:r>
      <w:r w:rsidRPr="0069441B">
        <w:rPr>
          <w:rFonts w:ascii="Times New Roman" w:hAnsi="Times New Roman"/>
          <w:color w:val="FF0000"/>
        </w:rPr>
        <w:t xml:space="preserve"> </w:t>
      </w:r>
      <w:r w:rsidRPr="0069441B">
        <w:rPr>
          <w:rFonts w:ascii="Times New Roman" w:hAnsi="Times New Roman"/>
        </w:rPr>
        <w:t>jednakowych egzemplarzach oprawionych w zieloną twardą oprawę, w sposób uniemożliwiający wydostawanie się kartek, trwale podpisanych z przodu (wygrawerowany napis): „</w:t>
      </w:r>
      <w:r w:rsidR="00D008F6" w:rsidRPr="0069441B">
        <w:rPr>
          <w:rFonts w:ascii="Times New Roman" w:hAnsi="Times New Roman"/>
        </w:rPr>
        <w:t xml:space="preserve">Uzupełnienie stanu wiedzy o przedmiotach ochrony w obszarze Natura 2000 </w:t>
      </w:r>
      <w:r w:rsidR="00F41BC2" w:rsidRPr="0069441B">
        <w:rPr>
          <w:rFonts w:ascii="Times New Roman" w:hAnsi="Times New Roman"/>
        </w:rPr>
        <w:t>Bory Tucholskie</w:t>
      </w:r>
      <w:r w:rsidR="00D008F6" w:rsidRPr="0069441B">
        <w:rPr>
          <w:rFonts w:ascii="Times New Roman" w:hAnsi="Times New Roman"/>
        </w:rPr>
        <w:t xml:space="preserve"> PLB</w:t>
      </w:r>
      <w:r w:rsidR="00F41BC2" w:rsidRPr="0069441B">
        <w:rPr>
          <w:rFonts w:ascii="Times New Roman" w:hAnsi="Times New Roman"/>
        </w:rPr>
        <w:t>220009</w:t>
      </w:r>
      <w:r w:rsidR="00D008F6" w:rsidRPr="0069441B">
        <w:rPr>
          <w:rFonts w:ascii="Times New Roman" w:hAnsi="Times New Roman"/>
        </w:rPr>
        <w:t xml:space="preserve"> w granicach województwa kujawsko-pomorskiego</w:t>
      </w:r>
      <w:r w:rsidR="00514CB5" w:rsidRPr="0069441B">
        <w:rPr>
          <w:rFonts w:ascii="Times New Roman" w:hAnsi="Times New Roman"/>
        </w:rPr>
        <w:t>”;</w:t>
      </w:r>
    </w:p>
    <w:p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lastRenderedPageBreak/>
        <w:t xml:space="preserve">- wydruki </w:t>
      </w:r>
      <w:r w:rsidR="00E608E7" w:rsidRPr="0069441B">
        <w:rPr>
          <w:rFonts w:ascii="Times New Roman" w:hAnsi="Times New Roman"/>
        </w:rPr>
        <w:t>cyfrowych map tematycznych w formacie A4 lub A3 z zachowaniem odpowiedniej skali</w:t>
      </w:r>
      <w:r w:rsidR="00514CB5" w:rsidRPr="0069441B">
        <w:rPr>
          <w:rFonts w:ascii="Times New Roman" w:hAnsi="Times New Roman"/>
        </w:rPr>
        <w:t>;</w:t>
      </w:r>
    </w:p>
    <w:p w:rsidR="00E608E7" w:rsidRPr="00E260E1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dokumentację należy opatrzyć </w:t>
      </w:r>
      <w:r w:rsidRPr="00E260E1">
        <w:rPr>
          <w:rFonts w:ascii="Times New Roman" w:hAnsi="Times New Roman"/>
        </w:rPr>
        <w:t xml:space="preserve">logotypami zgodnie z „Zasadami promocji </w:t>
      </w:r>
      <w:r w:rsidRPr="00E260E1">
        <w:rPr>
          <w:rFonts w:ascii="Times New Roman" w:hAnsi="Times New Roman"/>
        </w:rPr>
        <w:br/>
        <w:t xml:space="preserve">i stosowania logotypów” zawartymi w załączniku </w:t>
      </w:r>
      <w:r w:rsidR="00E260E1" w:rsidRPr="00E260E1">
        <w:rPr>
          <w:rFonts w:ascii="Times New Roman" w:hAnsi="Times New Roman"/>
        </w:rPr>
        <w:t>nr 8</w:t>
      </w:r>
      <w:r w:rsidR="00E608E7" w:rsidRPr="00E260E1">
        <w:rPr>
          <w:rFonts w:ascii="Times New Roman" w:hAnsi="Times New Roman"/>
        </w:rPr>
        <w:t xml:space="preserve"> do SIWZ</w:t>
      </w:r>
      <w:r w:rsidRPr="00E260E1">
        <w:rPr>
          <w:rFonts w:ascii="Times New Roman" w:hAnsi="Times New Roman"/>
        </w:rPr>
        <w:t xml:space="preserve">; </w:t>
      </w:r>
    </w:p>
    <w:p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260E1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="00E260E1" w:rsidRPr="00E260E1">
        <w:rPr>
          <w:rFonts w:ascii="Times New Roman" w:hAnsi="Times New Roman"/>
        </w:rPr>
        <w:t>nr 8</w:t>
      </w:r>
      <w:r w:rsidR="00E608E7" w:rsidRPr="00E260E1">
        <w:rPr>
          <w:rFonts w:ascii="Times New Roman" w:hAnsi="Times New Roman"/>
        </w:rPr>
        <w:t xml:space="preserve"> do SIWZ </w:t>
      </w:r>
      <w:r w:rsidRPr="00E260E1">
        <w:rPr>
          <w:rFonts w:ascii="Times New Roman" w:hAnsi="Times New Roman"/>
        </w:rPr>
        <w:t>oraz</w:t>
      </w:r>
      <w:r w:rsidRPr="0069441B">
        <w:rPr>
          <w:rFonts w:ascii="Times New Roman" w:hAnsi="Times New Roman"/>
        </w:rPr>
        <w:t xml:space="preserve"> informację o źródle finansowania w brzmieniu: 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:rsidR="00E608E7" w:rsidRPr="0069441B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Opracowanie w wersji elektronicznej, powinno zawiera</w:t>
      </w:r>
      <w:bookmarkStart w:id="4" w:name="_GoBack"/>
      <w:bookmarkEnd w:id="4"/>
      <w:r w:rsidRPr="0069441B">
        <w:rPr>
          <w:rFonts w:ascii="Times New Roman" w:hAnsi="Times New Roman"/>
        </w:rPr>
        <w:t xml:space="preserve">ć: </w:t>
      </w:r>
    </w:p>
    <w:p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</w:t>
      </w:r>
      <w:r w:rsidR="00E608E7" w:rsidRPr="0069441B">
        <w:rPr>
          <w:rFonts w:ascii="Times New Roman" w:hAnsi="Times New Roman"/>
        </w:rPr>
        <w:t xml:space="preserve">cyfrowe warstwy informacyjne </w:t>
      </w:r>
      <w:bookmarkStart w:id="5" w:name="_Hlk501527069"/>
      <w:r w:rsidR="00E608E7" w:rsidRPr="0069441B">
        <w:rPr>
          <w:rFonts w:ascii="Times New Roman" w:hAnsi="Times New Roman"/>
        </w:rPr>
        <w:t>dokumentujące rozmieszczenie zinwentaryzowanych przedmiotów ochrony</w:t>
      </w:r>
      <w:r w:rsidR="00E608E7" w:rsidRPr="00522F09">
        <w:rPr>
          <w:rFonts w:ascii="Times New Roman" w:hAnsi="Times New Roman"/>
        </w:rPr>
        <w:t xml:space="preserve">, </w:t>
      </w:r>
      <w:bookmarkStart w:id="6" w:name="_Hlk2926796"/>
      <w:bookmarkEnd w:id="5"/>
      <w:r w:rsidR="00E608E7" w:rsidRPr="00522F09">
        <w:rPr>
          <w:rFonts w:ascii="Times New Roman" w:hAnsi="Times New Roman"/>
        </w:rPr>
        <w:t xml:space="preserve">lokalizację </w:t>
      </w:r>
      <w:r w:rsidR="001178D6" w:rsidRPr="00522F09">
        <w:rPr>
          <w:rFonts w:ascii="Times New Roman" w:hAnsi="Times New Roman"/>
        </w:rPr>
        <w:t>wyznaczonych powierzchni/punktów/</w:t>
      </w:r>
      <w:proofErr w:type="spellStart"/>
      <w:r w:rsidR="001178D6" w:rsidRPr="00522F09">
        <w:rPr>
          <w:rFonts w:ascii="Times New Roman" w:hAnsi="Times New Roman"/>
        </w:rPr>
        <w:t>transektów</w:t>
      </w:r>
      <w:proofErr w:type="spellEnd"/>
      <w:r w:rsidR="001178D6" w:rsidRPr="00522F09">
        <w:rPr>
          <w:rFonts w:ascii="Times New Roman" w:hAnsi="Times New Roman"/>
        </w:rPr>
        <w:t xml:space="preserve"> do prowadzenia badań monitoringowych, lokalizację zagrożeń i działań ochronnych</w:t>
      </w:r>
      <w:bookmarkEnd w:id="6"/>
      <w:r w:rsidR="00E608E7" w:rsidRPr="00522F09">
        <w:rPr>
          <w:rFonts w:ascii="Times New Roman" w:hAnsi="Times New Roman"/>
        </w:rPr>
        <w:t>,</w:t>
      </w:r>
      <w:r w:rsidR="00E608E7" w:rsidRPr="0069441B">
        <w:rPr>
          <w:rFonts w:ascii="Times New Roman" w:hAnsi="Times New Roman"/>
        </w:rPr>
        <w:t xml:space="preserve"> sporządzone w oparciu o mapy państwowego zasobu geodezyjnego i kartograﬁcznego. Wymagania: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zapewniona czytelność treści map;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skala map 1:10 000 lub 1:25 000;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eksport map tematycznych jako raster i zapis ich w formacie PDF wraz z informacją o </w:t>
      </w:r>
      <w:proofErr w:type="spellStart"/>
      <w:r w:rsidRPr="0069441B">
        <w:rPr>
          <w:rFonts w:ascii="Times New Roman" w:hAnsi="Times New Roman"/>
        </w:rPr>
        <w:t>georeferencji</w:t>
      </w:r>
      <w:proofErr w:type="spellEnd"/>
      <w:r w:rsidRPr="0069441B">
        <w:rPr>
          <w:rFonts w:ascii="Times New Roman" w:hAnsi="Times New Roman"/>
        </w:rPr>
        <w:t>;</w:t>
      </w:r>
    </w:p>
    <w:p w:rsidR="00E608E7" w:rsidRPr="0069441B" w:rsidRDefault="00E608E7" w:rsidP="00E608E7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układ współrzędnych PL-1992 (EPSG: 2180);</w:t>
      </w:r>
    </w:p>
    <w:p w:rsidR="00E608E7" w:rsidRPr="0069441B" w:rsidRDefault="00E608E7" w:rsidP="00E608E7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>- elektroniczną wersję opracowania tekstowego (DOC lub DOCX i PDF)</w:t>
      </w:r>
      <w:r w:rsidR="001B6378">
        <w:rPr>
          <w:sz w:val="22"/>
          <w:szCs w:val="22"/>
        </w:rPr>
        <w:t>;</w:t>
      </w:r>
    </w:p>
    <w:p w:rsidR="0069441B" w:rsidRPr="0069441B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</w:t>
      </w:r>
      <w:r w:rsidR="00E608E7" w:rsidRPr="0069441B">
        <w:rPr>
          <w:sz w:val="22"/>
          <w:szCs w:val="22"/>
        </w:rPr>
        <w:t xml:space="preserve">dokumentację fotograficzną </w:t>
      </w:r>
      <w:bookmarkStart w:id="7" w:name="_Hlk533062944"/>
      <w:r w:rsidR="00E608E7" w:rsidRPr="0069441B">
        <w:rPr>
          <w:sz w:val="22"/>
          <w:szCs w:val="22"/>
        </w:rPr>
        <w:t xml:space="preserve">(jednoznacznie opisaną, umożliwiającą identyfikację poszczególnych punktów i </w:t>
      </w:r>
      <w:proofErr w:type="spellStart"/>
      <w:r w:rsidR="00E608E7" w:rsidRPr="0069441B">
        <w:rPr>
          <w:sz w:val="22"/>
          <w:szCs w:val="22"/>
        </w:rPr>
        <w:t>transektów</w:t>
      </w:r>
      <w:proofErr w:type="spellEnd"/>
      <w:r w:rsidR="00E608E7" w:rsidRPr="0069441B">
        <w:rPr>
          <w:sz w:val="22"/>
          <w:szCs w:val="22"/>
        </w:rPr>
        <w:t xml:space="preserve"> badawczych)</w:t>
      </w:r>
      <w:bookmarkEnd w:id="7"/>
      <w:r w:rsidR="00E608E7" w:rsidRPr="0069441B">
        <w:rPr>
          <w:sz w:val="22"/>
          <w:szCs w:val="22"/>
        </w:rPr>
        <w:t xml:space="preserve"> z każdego punktu i </w:t>
      </w:r>
      <w:proofErr w:type="spellStart"/>
      <w:r w:rsidR="00E608E7" w:rsidRPr="0069441B">
        <w:rPr>
          <w:sz w:val="22"/>
          <w:szCs w:val="22"/>
        </w:rPr>
        <w:t>transektu</w:t>
      </w:r>
      <w:proofErr w:type="spellEnd"/>
      <w:r w:rsidR="00E608E7" w:rsidRPr="0069441B">
        <w:rPr>
          <w:sz w:val="22"/>
          <w:szCs w:val="22"/>
        </w:rPr>
        <w:t xml:space="preserve"> badawczego (JPG)</w:t>
      </w:r>
      <w:r w:rsidRPr="0069441B">
        <w:rPr>
          <w:sz w:val="22"/>
          <w:szCs w:val="22"/>
        </w:rPr>
        <w:t>;</w:t>
      </w:r>
    </w:p>
    <w:p w:rsidR="004E0F24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na opakowaniach płyt CD/DVD należy umieścić </w:t>
      </w:r>
      <w:r w:rsidR="00AB2B68" w:rsidRPr="0069441B">
        <w:rPr>
          <w:sz w:val="22"/>
          <w:szCs w:val="22"/>
        </w:rPr>
        <w:t>l</w:t>
      </w:r>
      <w:r w:rsidRPr="0069441B">
        <w:rPr>
          <w:sz w:val="22"/>
          <w:szCs w:val="22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:rsidR="00522F09" w:rsidRPr="0069441B" w:rsidRDefault="00522F09" w:rsidP="0069441B">
      <w:pPr>
        <w:spacing w:line="276" w:lineRule="auto"/>
        <w:ind w:left="1134"/>
        <w:jc w:val="both"/>
        <w:rPr>
          <w:sz w:val="22"/>
          <w:szCs w:val="22"/>
        </w:rPr>
      </w:pP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  <w:r w:rsidR="008D0755" w:rsidRPr="0069441B">
        <w:rPr>
          <w:rFonts w:ascii="Times New Roman" w:hAnsi="Times New Roman"/>
          <w:i/>
        </w:rPr>
        <w:br/>
      </w: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:rsidR="0069441B" w:rsidRDefault="0069441B" w:rsidP="0069441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</w:t>
      </w:r>
      <w:r w:rsidR="0069441B" w:rsidRPr="00DC5A12">
        <w:rPr>
          <w:rFonts w:ascii="Times New Roman" w:hAnsi="Times New Roman"/>
        </w:rPr>
        <w:t>zobowiązany jest do udzielania bieżących informacji odnośnie zakresu zrealizowanych i planowanych do realizacji prac</w:t>
      </w:r>
      <w:r w:rsidR="0069441B">
        <w:rPr>
          <w:rFonts w:ascii="Times New Roman" w:hAnsi="Times New Roman"/>
        </w:rPr>
        <w:t xml:space="preserve">, </w:t>
      </w:r>
      <w:r w:rsidR="0069441B" w:rsidRPr="00981E75">
        <w:rPr>
          <w:rFonts w:ascii="Times New Roman" w:hAnsi="Times New Roman"/>
        </w:rPr>
        <w:t>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69441B">
        <w:rPr>
          <w:rFonts w:ascii="Times New Roman" w:hAnsi="Times New Roman"/>
        </w:rPr>
        <w:t>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8D0755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lastRenderedPageBreak/>
        <w:t xml:space="preserve">Zamawiający zastrzega sobie prawo kontroli sposobu realizacji prac objętych umową, </w:t>
      </w:r>
      <w:r w:rsidRPr="0069441B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Termin realizacji zamówienia (sporządzenia dokumentacji): </w:t>
      </w:r>
      <w:r w:rsidR="005F2535">
        <w:rPr>
          <w:rFonts w:ascii="Times New Roman" w:hAnsi="Times New Roman"/>
          <w:bCs/>
        </w:rPr>
        <w:t>1 lutego 2021</w:t>
      </w:r>
      <w:r w:rsidRPr="0069441B">
        <w:rPr>
          <w:rFonts w:ascii="Times New Roman" w:hAnsi="Times New Roman"/>
          <w:bCs/>
        </w:rPr>
        <w:t xml:space="preserve"> r.</w:t>
      </w:r>
    </w:p>
    <w:p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8D0755" w:rsidRP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Harmonogram prac: </w:t>
      </w:r>
    </w:p>
    <w:p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 ciągu 14 dni od podpisania umowy </w:t>
      </w:r>
      <w:r w:rsidR="00B50A55" w:rsidRPr="0069441B">
        <w:rPr>
          <w:rFonts w:ascii="Times New Roman" w:hAnsi="Times New Roman"/>
        </w:rPr>
        <w:t xml:space="preserve">Wykonawca </w:t>
      </w:r>
      <w:r w:rsidRPr="0069441B">
        <w:rPr>
          <w:rFonts w:ascii="Times New Roman" w:hAnsi="Times New Roman"/>
        </w:rPr>
        <w:t xml:space="preserve">przedstawi </w:t>
      </w:r>
      <w:r w:rsidR="0069441B">
        <w:rPr>
          <w:rFonts w:ascii="Times New Roman" w:hAnsi="Times New Roman"/>
        </w:rPr>
        <w:t>Z</w:t>
      </w:r>
      <w:r w:rsidRPr="0069441B">
        <w:rPr>
          <w:rFonts w:ascii="Times New Roman" w:hAnsi="Times New Roman"/>
        </w:rPr>
        <w:t xml:space="preserve">amawiającemu </w:t>
      </w:r>
      <w:r w:rsidR="00B50A55" w:rsidRPr="0069441B">
        <w:rPr>
          <w:rFonts w:ascii="Times New Roman" w:hAnsi="Times New Roman"/>
        </w:rPr>
        <w:t>dokładn</w:t>
      </w:r>
      <w:r w:rsidRPr="0069441B">
        <w:rPr>
          <w:rFonts w:ascii="Times New Roman" w:hAnsi="Times New Roman"/>
        </w:rPr>
        <w:t>e</w:t>
      </w:r>
      <w:r w:rsidR="00B50A55" w:rsidRPr="0069441B">
        <w:rPr>
          <w:rFonts w:ascii="Times New Roman" w:hAnsi="Times New Roman"/>
        </w:rPr>
        <w:t xml:space="preserve"> </w:t>
      </w:r>
      <w:bookmarkStart w:id="8" w:name="_Hlk2926930"/>
      <w:r w:rsidR="00B50A55" w:rsidRPr="00522F09">
        <w:rPr>
          <w:rFonts w:ascii="Times New Roman" w:hAnsi="Times New Roman"/>
        </w:rPr>
        <w:t>lokalizacj</w:t>
      </w:r>
      <w:r w:rsidRPr="00522F09">
        <w:rPr>
          <w:rFonts w:ascii="Times New Roman" w:hAnsi="Times New Roman"/>
        </w:rPr>
        <w:t>e</w:t>
      </w:r>
      <w:r w:rsidR="001178D6" w:rsidRPr="00522F09">
        <w:rPr>
          <w:rFonts w:ascii="Times New Roman" w:hAnsi="Times New Roman"/>
        </w:rPr>
        <w:t xml:space="preserve"> </w:t>
      </w:r>
      <w:proofErr w:type="spellStart"/>
      <w:r w:rsidR="00B50A55" w:rsidRPr="00522F09">
        <w:rPr>
          <w:rFonts w:ascii="Times New Roman" w:hAnsi="Times New Roman"/>
        </w:rPr>
        <w:t>transektów</w:t>
      </w:r>
      <w:proofErr w:type="spellEnd"/>
      <w:r w:rsidR="00B50A55" w:rsidRPr="00522F09">
        <w:rPr>
          <w:rFonts w:ascii="Times New Roman" w:hAnsi="Times New Roman"/>
        </w:rPr>
        <w:t xml:space="preserve"> i punktów obserwacyjnych</w:t>
      </w:r>
      <w:r w:rsidR="001178D6" w:rsidRPr="00522F09">
        <w:rPr>
          <w:rFonts w:ascii="Times New Roman" w:hAnsi="Times New Roman"/>
        </w:rPr>
        <w:t xml:space="preserve"> (</w:t>
      </w:r>
      <w:r w:rsidR="00B50A55" w:rsidRPr="00522F09">
        <w:rPr>
          <w:rFonts w:ascii="Times New Roman" w:hAnsi="Times New Roman"/>
        </w:rPr>
        <w:t xml:space="preserve">co zostanie naniesione na mapy poglądowe) </w:t>
      </w:r>
      <w:bookmarkEnd w:id="8"/>
      <w:r w:rsidR="00B50A55" w:rsidRPr="00522F09">
        <w:rPr>
          <w:rFonts w:ascii="Times New Roman" w:hAnsi="Times New Roman"/>
        </w:rPr>
        <w:t>oraz metodykę</w:t>
      </w:r>
      <w:r w:rsidR="00B50A55" w:rsidRPr="0069441B">
        <w:rPr>
          <w:rFonts w:ascii="Times New Roman" w:hAnsi="Times New Roman"/>
        </w:rPr>
        <w:t xml:space="preserve"> i harmonogram badań terenowych</w:t>
      </w:r>
      <w:r w:rsidRPr="0069441B">
        <w:rPr>
          <w:rFonts w:ascii="Times New Roman" w:hAnsi="Times New Roman"/>
        </w:rPr>
        <w:t xml:space="preserve"> objętych przedmiotem zamówienia</w:t>
      </w:r>
      <w:r w:rsidR="0069441B">
        <w:rPr>
          <w:rFonts w:ascii="Times New Roman" w:hAnsi="Times New Roman"/>
        </w:rPr>
        <w:t xml:space="preserve"> – w wersji elektronicznej i papierowej (po 1 egzemplarzu).</w:t>
      </w:r>
    </w:p>
    <w:p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przedstawi uwagi do </w:t>
      </w:r>
      <w:r w:rsidRPr="00522F09">
        <w:rPr>
          <w:rFonts w:ascii="Times New Roman" w:hAnsi="Times New Roman"/>
        </w:rPr>
        <w:t xml:space="preserve">lokalizacji </w:t>
      </w:r>
      <w:bookmarkStart w:id="9" w:name="_Hlk2926945"/>
      <w:proofErr w:type="spellStart"/>
      <w:r w:rsidR="001178D6" w:rsidRPr="00522F09">
        <w:rPr>
          <w:rFonts w:ascii="Times New Roman" w:hAnsi="Times New Roman"/>
        </w:rPr>
        <w:t>transektów</w:t>
      </w:r>
      <w:proofErr w:type="spellEnd"/>
      <w:r w:rsidR="001178D6" w:rsidRPr="00522F09">
        <w:rPr>
          <w:rFonts w:ascii="Times New Roman" w:hAnsi="Times New Roman"/>
        </w:rPr>
        <w:t xml:space="preserve"> i punktów obserwacyjnych</w:t>
      </w:r>
      <w:r w:rsidRPr="0069441B">
        <w:rPr>
          <w:rFonts w:ascii="Times New Roman" w:hAnsi="Times New Roman"/>
        </w:rPr>
        <w:t xml:space="preserve"> </w:t>
      </w:r>
      <w:bookmarkEnd w:id="9"/>
      <w:r w:rsidRPr="0069441B">
        <w:rPr>
          <w:rFonts w:ascii="Times New Roman" w:hAnsi="Times New Roman"/>
        </w:rPr>
        <w:t>oraz metodyki i harmonogramu w ciągu 7 dni od ich otrzymania</w:t>
      </w:r>
      <w:r w:rsidR="0069441B">
        <w:rPr>
          <w:rFonts w:ascii="Times New Roman" w:hAnsi="Times New Roman"/>
        </w:rPr>
        <w:t>.</w:t>
      </w:r>
    </w:p>
    <w:p w:rsidR="002C4554" w:rsidRDefault="002C4554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przedłoży </w:t>
      </w:r>
      <w:r w:rsidRPr="00522F09">
        <w:rPr>
          <w:rFonts w:ascii="Times New Roman" w:hAnsi="Times New Roman"/>
        </w:rPr>
        <w:t xml:space="preserve">lokalizacje </w:t>
      </w:r>
      <w:proofErr w:type="spellStart"/>
      <w:r w:rsidR="009D67F8" w:rsidRPr="00522F09">
        <w:rPr>
          <w:rFonts w:ascii="Times New Roman" w:hAnsi="Times New Roman"/>
        </w:rPr>
        <w:t>transektów</w:t>
      </w:r>
      <w:proofErr w:type="spellEnd"/>
      <w:r w:rsidR="009D67F8" w:rsidRPr="00522F09">
        <w:rPr>
          <w:rFonts w:ascii="Times New Roman" w:hAnsi="Times New Roman"/>
        </w:rPr>
        <w:t xml:space="preserve"> i punktów obserwacyjnych</w:t>
      </w:r>
      <w:r w:rsidRPr="0069441B">
        <w:rPr>
          <w:rFonts w:ascii="Times New Roman" w:hAnsi="Times New Roman"/>
        </w:rPr>
        <w:t xml:space="preserve"> oraz metodyk</w:t>
      </w:r>
      <w:r>
        <w:rPr>
          <w:rFonts w:ascii="Times New Roman" w:hAnsi="Times New Roman"/>
        </w:rPr>
        <w:t>ę</w:t>
      </w:r>
      <w:r w:rsidRPr="0069441B">
        <w:rPr>
          <w:rFonts w:ascii="Times New Roman" w:hAnsi="Times New Roman"/>
        </w:rPr>
        <w:t xml:space="preserve"> i harmonogram</w:t>
      </w:r>
      <w:r>
        <w:rPr>
          <w:rFonts w:ascii="Times New Roman" w:hAnsi="Times New Roman"/>
        </w:rPr>
        <w:t>, uwzględniające uwagi Zamawiającego w ciągu 7 dni od ich otrzymania</w:t>
      </w:r>
      <w:r w:rsidR="009258F1">
        <w:rPr>
          <w:rFonts w:ascii="Times New Roman" w:hAnsi="Times New Roman"/>
        </w:rPr>
        <w:t>, do zatwierdzenia.</w:t>
      </w:r>
      <w:r>
        <w:rPr>
          <w:rFonts w:ascii="Times New Roman" w:hAnsi="Times New Roman"/>
        </w:rPr>
        <w:t xml:space="preserve"> 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przedłoży projekt dokumentacji </w:t>
      </w:r>
      <w:r w:rsidR="00343F53" w:rsidRPr="0069441B">
        <w:rPr>
          <w:rFonts w:ascii="Times New Roman" w:hAnsi="Times New Roman"/>
        </w:rPr>
        <w:t xml:space="preserve">w wersji elektronicznej i papierowej </w:t>
      </w:r>
      <w:r w:rsidR="0069441B">
        <w:rPr>
          <w:rFonts w:ascii="Times New Roman" w:hAnsi="Times New Roman"/>
        </w:rPr>
        <w:t xml:space="preserve">(1 egzemplarz bez oprawy) </w:t>
      </w:r>
      <w:r w:rsidRPr="0069441B">
        <w:rPr>
          <w:rFonts w:ascii="Times New Roman" w:hAnsi="Times New Roman"/>
        </w:rPr>
        <w:t>do</w:t>
      </w:r>
      <w:r w:rsidR="0069441B">
        <w:rPr>
          <w:rFonts w:ascii="Times New Roman" w:hAnsi="Times New Roman"/>
        </w:rPr>
        <w:t xml:space="preserve"> dnia:</w:t>
      </w:r>
      <w:r w:rsidRPr="0069441B">
        <w:rPr>
          <w:rFonts w:ascii="Times New Roman" w:hAnsi="Times New Roman"/>
        </w:rPr>
        <w:t xml:space="preserve"> </w:t>
      </w:r>
      <w:r w:rsidR="005F2535">
        <w:rPr>
          <w:rFonts w:ascii="Times New Roman" w:hAnsi="Times New Roman"/>
          <w:bCs/>
        </w:rPr>
        <w:t>4 stycznia 2021</w:t>
      </w:r>
      <w:r w:rsidRPr="0069441B">
        <w:rPr>
          <w:rFonts w:ascii="Times New Roman" w:hAnsi="Times New Roman"/>
          <w:bCs/>
        </w:rPr>
        <w:t xml:space="preserve"> r.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Zamawiający </w:t>
      </w:r>
      <w:r w:rsidR="00AD42F9" w:rsidRPr="008A21F8">
        <w:rPr>
          <w:rFonts w:ascii="Times New Roman" w:hAnsi="Times New Roman"/>
        </w:rPr>
        <w:t xml:space="preserve">przedstawi uwagi do dokumentacji – w ciągu </w:t>
      </w:r>
      <w:r w:rsidR="00534CB6">
        <w:rPr>
          <w:rFonts w:ascii="Times New Roman" w:hAnsi="Times New Roman"/>
        </w:rPr>
        <w:t>7</w:t>
      </w:r>
      <w:r w:rsidR="00AD42F9" w:rsidRPr="008A21F8">
        <w:rPr>
          <w:rFonts w:ascii="Times New Roman" w:hAnsi="Times New Roman"/>
        </w:rPr>
        <w:t xml:space="preserve">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</w:t>
      </w:r>
      <w:r w:rsidR="00AD42F9">
        <w:rPr>
          <w:rFonts w:ascii="Times New Roman" w:hAnsi="Times New Roman"/>
        </w:rPr>
        <w:t>,</w:t>
      </w:r>
      <w:r w:rsidR="00AD42F9" w:rsidRPr="008A21F8">
        <w:rPr>
          <w:rFonts w:ascii="Times New Roman" w:hAnsi="Times New Roman"/>
        </w:rPr>
        <w:t xml:space="preserve"> których zapisy będą dotyczyć</w:t>
      </w:r>
      <w:r w:rsidR="00AD42F9">
        <w:rPr>
          <w:rFonts w:ascii="Times New Roman" w:hAnsi="Times New Roman"/>
        </w:rPr>
        <w:t>.</w:t>
      </w:r>
    </w:p>
    <w:p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Wykonawca ustosunkuje się do uwag i dostarczy dokumentację do </w:t>
      </w:r>
      <w:r w:rsidR="00AD42F9">
        <w:rPr>
          <w:rFonts w:ascii="Times New Roman" w:hAnsi="Times New Roman"/>
        </w:rPr>
        <w:t xml:space="preserve">dnia </w:t>
      </w:r>
      <w:r w:rsidR="005F2535">
        <w:rPr>
          <w:rFonts w:ascii="Times New Roman" w:hAnsi="Times New Roman"/>
        </w:rPr>
        <w:t>1 lutego 2021</w:t>
      </w:r>
      <w:r w:rsidRPr="00AD42F9">
        <w:rPr>
          <w:rFonts w:ascii="Times New Roman" w:hAnsi="Times New Roman"/>
          <w:bCs/>
        </w:rPr>
        <w:t xml:space="preserve"> r.</w:t>
      </w:r>
    </w:p>
    <w:p w:rsidR="00CD0873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Odbiór prac nastąpi do </w:t>
      </w:r>
      <w:r w:rsidR="00534CB6">
        <w:rPr>
          <w:rFonts w:ascii="Times New Roman" w:hAnsi="Times New Roman"/>
        </w:rPr>
        <w:t>5</w:t>
      </w:r>
      <w:r w:rsidRPr="00AD42F9">
        <w:rPr>
          <w:rFonts w:ascii="Times New Roman" w:hAnsi="Times New Roman"/>
        </w:rPr>
        <w:t xml:space="preserve"> dni od daty otrzymania kompletnej dokumentacji</w:t>
      </w:r>
      <w:r w:rsidR="00CD3195" w:rsidRPr="00AD42F9">
        <w:rPr>
          <w:rFonts w:ascii="Times New Roman" w:hAnsi="Times New Roman"/>
        </w:rPr>
        <w:t>.</w:t>
      </w:r>
    </w:p>
    <w:p w:rsidR="00AD42F9" w:rsidRPr="00AD42F9" w:rsidRDefault="00AD42F9" w:rsidP="00AD42F9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:rsidR="00AD42F9" w:rsidRDefault="00B50A55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Dopuszcza się możliwość dokonania modyfikacji </w:t>
      </w:r>
      <w:r w:rsidRPr="00522F09">
        <w:rPr>
          <w:rFonts w:ascii="Times New Roman" w:hAnsi="Times New Roman"/>
        </w:rPr>
        <w:t>metodyki</w:t>
      </w:r>
      <w:r w:rsidR="00503C7C" w:rsidRPr="00522F09">
        <w:rPr>
          <w:rFonts w:ascii="Times New Roman" w:hAnsi="Times New Roman"/>
        </w:rPr>
        <w:t>, harmonogramu</w:t>
      </w:r>
      <w:r w:rsidRPr="00522F09">
        <w:rPr>
          <w:rFonts w:ascii="Times New Roman" w:hAnsi="Times New Roman"/>
        </w:rPr>
        <w:t xml:space="preserve"> oraz </w:t>
      </w:r>
      <w:bookmarkStart w:id="10" w:name="_Hlk2926971"/>
      <w:proofErr w:type="spellStart"/>
      <w:r w:rsidR="00503C7C" w:rsidRPr="00522F09">
        <w:rPr>
          <w:rFonts w:ascii="Times New Roman" w:hAnsi="Times New Roman"/>
        </w:rPr>
        <w:t>transektów</w:t>
      </w:r>
      <w:proofErr w:type="spellEnd"/>
      <w:r w:rsidR="00503C7C" w:rsidRPr="00522F09">
        <w:rPr>
          <w:rFonts w:ascii="Times New Roman" w:hAnsi="Times New Roman"/>
        </w:rPr>
        <w:t xml:space="preserve"> i punktów obserwacyjnych</w:t>
      </w:r>
      <w:bookmarkEnd w:id="10"/>
      <w:r w:rsidRPr="00522F09">
        <w:rPr>
          <w:rFonts w:ascii="Times New Roman" w:hAnsi="Times New Roman"/>
        </w:rPr>
        <w:t xml:space="preserve"> w trakcie wykonywania zamówienia pod warunkiem zgłoszenia tych modyfikacji tut. Organowi przed rozpoczęciem prowadzenia</w:t>
      </w:r>
      <w:r w:rsidRPr="00AD42F9">
        <w:rPr>
          <w:rFonts w:ascii="Times New Roman" w:hAnsi="Times New Roman"/>
        </w:rPr>
        <w:t xml:space="preserve"> badań na podstawie zmienionej metodyki lub lokalizacji punktów obserwacyjnych i </w:t>
      </w:r>
      <w:proofErr w:type="spellStart"/>
      <w:r w:rsidRPr="00AD42F9">
        <w:rPr>
          <w:rFonts w:ascii="Times New Roman" w:hAnsi="Times New Roman"/>
        </w:rPr>
        <w:t>transektów</w:t>
      </w:r>
      <w:proofErr w:type="spellEnd"/>
      <w:r w:rsidRPr="00AD42F9">
        <w:rPr>
          <w:rFonts w:ascii="Times New Roman" w:hAnsi="Times New Roman"/>
        </w:rPr>
        <w:t>. Po przesłaniu propozycji modyfikacji e-mailem oraz faksem do sekretariatu tut. Organu dokumentacja zostanie zaakceptowana lub naniesione zostaną poprawki przez tut. Organ w ciągu 7 dni od daty otrzymania propozycji.</w:t>
      </w:r>
    </w:p>
    <w:p w:rsidR="00342101" w:rsidRPr="009258F1" w:rsidRDefault="00AD42F9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Zamawiający udostępnia dokumentację do planu zadań ochronnych dla obszaru Natura 2000 Bory Tucholskie PLB220009 pod linkiem</w:t>
      </w:r>
      <w:r w:rsidRPr="009258F1">
        <w:rPr>
          <w:rFonts w:ascii="Times New Roman" w:hAnsi="Times New Roman"/>
          <w:b/>
        </w:rPr>
        <w:t>:</w:t>
      </w:r>
    </w:p>
    <w:p w:rsidR="001B6378" w:rsidRPr="001B6378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http://public.rdos-bydgoszcz.pl/download/pzo_bt.zip</w:t>
      </w:r>
    </w:p>
    <w:p w:rsidR="001B6378" w:rsidRPr="00AD42F9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AD42F9" w:rsidRDefault="00AD42F9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B93F30" w:rsidRPr="00A353D0" w:rsidRDefault="00B93F30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A353D0">
        <w:rPr>
          <w:rFonts w:ascii="Times New Roman" w:hAnsi="Times New Roman"/>
          <w:b/>
        </w:rPr>
        <w:t xml:space="preserve">Załączniki do opisu przedmiotu zamówienia: </w:t>
      </w:r>
    </w:p>
    <w:p w:rsidR="00B93F30" w:rsidRPr="00AD42F9" w:rsidRDefault="00CD0873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Załącznik nr </w:t>
      </w:r>
      <w:r w:rsidR="00AD42F9">
        <w:rPr>
          <w:rFonts w:ascii="Times New Roman" w:hAnsi="Times New Roman"/>
        </w:rPr>
        <w:t>1</w:t>
      </w:r>
      <w:r w:rsidRPr="00A353D0">
        <w:rPr>
          <w:rFonts w:ascii="Times New Roman" w:hAnsi="Times New Roman"/>
        </w:rPr>
        <w:t xml:space="preserve"> – Szablon dokumentacji dot. uzupełnienia stanu wiedzy o przedmiotach ochrony w obszarze Natura 2000 Bory Tucholskie PLB220009</w:t>
      </w:r>
    </w:p>
    <w:sectPr w:rsidR="00B93F30" w:rsidRPr="00AD42F9" w:rsidSect="00073A5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E2" w:rsidRDefault="000404E2" w:rsidP="00750F57">
      <w:r>
        <w:separator/>
      </w:r>
    </w:p>
  </w:endnote>
  <w:endnote w:type="continuationSeparator" w:id="0">
    <w:p w:rsidR="000404E2" w:rsidRDefault="000404E2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E2" w:rsidRDefault="000404E2" w:rsidP="00750F57">
      <w:r>
        <w:separator/>
      </w:r>
    </w:p>
  </w:footnote>
  <w:footnote w:type="continuationSeparator" w:id="0">
    <w:p w:rsidR="000404E2" w:rsidRDefault="000404E2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E92757"/>
    <w:multiLevelType w:val="hybridMultilevel"/>
    <w:tmpl w:val="BAF4C41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26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378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54E"/>
    <w:multiLevelType w:val="hybridMultilevel"/>
    <w:tmpl w:val="2204679A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CF4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D538BD"/>
    <w:multiLevelType w:val="hybridMultilevel"/>
    <w:tmpl w:val="F640ABA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1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963E98"/>
    <w:multiLevelType w:val="hybridMultilevel"/>
    <w:tmpl w:val="FB5A2E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12"/>
  </w:num>
  <w:num w:numId="7">
    <w:abstractNumId w:val="2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22"/>
  </w:num>
  <w:num w:numId="19">
    <w:abstractNumId w:val="30"/>
  </w:num>
  <w:num w:numId="20">
    <w:abstractNumId w:val="35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8"/>
  </w:num>
  <w:num w:numId="28">
    <w:abstractNumId w:val="11"/>
  </w:num>
  <w:num w:numId="29">
    <w:abstractNumId w:val="13"/>
  </w:num>
  <w:num w:numId="30">
    <w:abstractNumId w:val="21"/>
  </w:num>
  <w:num w:numId="31">
    <w:abstractNumId w:val="32"/>
  </w:num>
  <w:num w:numId="32">
    <w:abstractNumId w:val="33"/>
  </w:num>
  <w:num w:numId="33">
    <w:abstractNumId w:val="6"/>
  </w:num>
  <w:num w:numId="34">
    <w:abstractNumId w:val="3"/>
  </w:num>
  <w:num w:numId="35">
    <w:abstractNumId w:val="24"/>
  </w:num>
  <w:num w:numId="36">
    <w:abstractNumId w:val="15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2"/>
    <w:rsid w:val="000033F2"/>
    <w:rsid w:val="00015F7A"/>
    <w:rsid w:val="000404E2"/>
    <w:rsid w:val="0004463C"/>
    <w:rsid w:val="0005022D"/>
    <w:rsid w:val="0006623B"/>
    <w:rsid w:val="00070EA8"/>
    <w:rsid w:val="00073A5D"/>
    <w:rsid w:val="000862FA"/>
    <w:rsid w:val="00090498"/>
    <w:rsid w:val="000A04FA"/>
    <w:rsid w:val="000A05F1"/>
    <w:rsid w:val="000A3D63"/>
    <w:rsid w:val="000B3E2D"/>
    <w:rsid w:val="000C2C48"/>
    <w:rsid w:val="000C7D7F"/>
    <w:rsid w:val="000E1FD1"/>
    <w:rsid w:val="000F37FF"/>
    <w:rsid w:val="0010490A"/>
    <w:rsid w:val="001178D6"/>
    <w:rsid w:val="001254D9"/>
    <w:rsid w:val="00125E14"/>
    <w:rsid w:val="001436FE"/>
    <w:rsid w:val="00147289"/>
    <w:rsid w:val="00157E48"/>
    <w:rsid w:val="00166342"/>
    <w:rsid w:val="00171D9D"/>
    <w:rsid w:val="001735CF"/>
    <w:rsid w:val="00174AFF"/>
    <w:rsid w:val="0018166A"/>
    <w:rsid w:val="00183CD2"/>
    <w:rsid w:val="001906B6"/>
    <w:rsid w:val="00196FCB"/>
    <w:rsid w:val="001A0D49"/>
    <w:rsid w:val="001A135C"/>
    <w:rsid w:val="001B6378"/>
    <w:rsid w:val="001D2A4C"/>
    <w:rsid w:val="001F7BA3"/>
    <w:rsid w:val="00204ECD"/>
    <w:rsid w:val="00207BF8"/>
    <w:rsid w:val="00213E93"/>
    <w:rsid w:val="00214C95"/>
    <w:rsid w:val="002311A2"/>
    <w:rsid w:val="002363AC"/>
    <w:rsid w:val="00237FC5"/>
    <w:rsid w:val="00293667"/>
    <w:rsid w:val="00297331"/>
    <w:rsid w:val="002B0BC2"/>
    <w:rsid w:val="002C4554"/>
    <w:rsid w:val="002D47CA"/>
    <w:rsid w:val="002D7506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4CC4"/>
    <w:rsid w:val="00386120"/>
    <w:rsid w:val="003B47B0"/>
    <w:rsid w:val="003B5A4C"/>
    <w:rsid w:val="003C42EF"/>
    <w:rsid w:val="003E20D3"/>
    <w:rsid w:val="0040421E"/>
    <w:rsid w:val="00406EF0"/>
    <w:rsid w:val="004343D3"/>
    <w:rsid w:val="00482553"/>
    <w:rsid w:val="004A6DFB"/>
    <w:rsid w:val="004B43DF"/>
    <w:rsid w:val="004B7E72"/>
    <w:rsid w:val="004C20A5"/>
    <w:rsid w:val="004D644E"/>
    <w:rsid w:val="004E0F24"/>
    <w:rsid w:val="004E336A"/>
    <w:rsid w:val="00503C7C"/>
    <w:rsid w:val="00514CB5"/>
    <w:rsid w:val="005215C0"/>
    <w:rsid w:val="00522F09"/>
    <w:rsid w:val="00523B69"/>
    <w:rsid w:val="00534CB6"/>
    <w:rsid w:val="0053709A"/>
    <w:rsid w:val="00550544"/>
    <w:rsid w:val="00580A8A"/>
    <w:rsid w:val="005A09C6"/>
    <w:rsid w:val="005A25DF"/>
    <w:rsid w:val="005A3F95"/>
    <w:rsid w:val="005D0B11"/>
    <w:rsid w:val="005D50BD"/>
    <w:rsid w:val="005F2535"/>
    <w:rsid w:val="00600B85"/>
    <w:rsid w:val="006039C7"/>
    <w:rsid w:val="0060413C"/>
    <w:rsid w:val="006166AE"/>
    <w:rsid w:val="00622B84"/>
    <w:rsid w:val="00663791"/>
    <w:rsid w:val="00665CC3"/>
    <w:rsid w:val="00683977"/>
    <w:rsid w:val="0069441B"/>
    <w:rsid w:val="006B75E3"/>
    <w:rsid w:val="006C06BC"/>
    <w:rsid w:val="006E239E"/>
    <w:rsid w:val="006E4F28"/>
    <w:rsid w:val="00713233"/>
    <w:rsid w:val="00715445"/>
    <w:rsid w:val="00721D2B"/>
    <w:rsid w:val="00747093"/>
    <w:rsid w:val="00750F57"/>
    <w:rsid w:val="007623A5"/>
    <w:rsid w:val="00766E49"/>
    <w:rsid w:val="007805FD"/>
    <w:rsid w:val="00780E6F"/>
    <w:rsid w:val="00796949"/>
    <w:rsid w:val="007B528C"/>
    <w:rsid w:val="007B72C3"/>
    <w:rsid w:val="007C0B99"/>
    <w:rsid w:val="007C395A"/>
    <w:rsid w:val="007C3F48"/>
    <w:rsid w:val="007C4170"/>
    <w:rsid w:val="007D54B5"/>
    <w:rsid w:val="007D6662"/>
    <w:rsid w:val="007E2042"/>
    <w:rsid w:val="007E51C8"/>
    <w:rsid w:val="00802121"/>
    <w:rsid w:val="0080272C"/>
    <w:rsid w:val="00806F55"/>
    <w:rsid w:val="00813CC1"/>
    <w:rsid w:val="00825CE2"/>
    <w:rsid w:val="00836945"/>
    <w:rsid w:val="00840BAB"/>
    <w:rsid w:val="0086001B"/>
    <w:rsid w:val="00872823"/>
    <w:rsid w:val="00880BDF"/>
    <w:rsid w:val="008A652A"/>
    <w:rsid w:val="008B20F9"/>
    <w:rsid w:val="008C2C8F"/>
    <w:rsid w:val="008D0755"/>
    <w:rsid w:val="008F1B2C"/>
    <w:rsid w:val="0090079C"/>
    <w:rsid w:val="00901A8B"/>
    <w:rsid w:val="00902D2A"/>
    <w:rsid w:val="009124C2"/>
    <w:rsid w:val="009203D4"/>
    <w:rsid w:val="009258F1"/>
    <w:rsid w:val="00962BBD"/>
    <w:rsid w:val="009634E3"/>
    <w:rsid w:val="009732A8"/>
    <w:rsid w:val="009743AB"/>
    <w:rsid w:val="009827CF"/>
    <w:rsid w:val="00987082"/>
    <w:rsid w:val="009A5F7D"/>
    <w:rsid w:val="009C236D"/>
    <w:rsid w:val="009C6A5F"/>
    <w:rsid w:val="009D193E"/>
    <w:rsid w:val="009D3497"/>
    <w:rsid w:val="009D67F8"/>
    <w:rsid w:val="009E12E4"/>
    <w:rsid w:val="009E1B52"/>
    <w:rsid w:val="009F34FD"/>
    <w:rsid w:val="009F4F24"/>
    <w:rsid w:val="00A00584"/>
    <w:rsid w:val="00A10A73"/>
    <w:rsid w:val="00A16100"/>
    <w:rsid w:val="00A20910"/>
    <w:rsid w:val="00A24E5D"/>
    <w:rsid w:val="00A353D0"/>
    <w:rsid w:val="00A527A6"/>
    <w:rsid w:val="00A55FC6"/>
    <w:rsid w:val="00A61682"/>
    <w:rsid w:val="00A84BF1"/>
    <w:rsid w:val="00A9075E"/>
    <w:rsid w:val="00AA0A52"/>
    <w:rsid w:val="00AB2B68"/>
    <w:rsid w:val="00AB2EFA"/>
    <w:rsid w:val="00AC15D1"/>
    <w:rsid w:val="00AC6AA9"/>
    <w:rsid w:val="00AD050C"/>
    <w:rsid w:val="00AD42F9"/>
    <w:rsid w:val="00AD50EF"/>
    <w:rsid w:val="00AD6970"/>
    <w:rsid w:val="00B04021"/>
    <w:rsid w:val="00B1082D"/>
    <w:rsid w:val="00B20594"/>
    <w:rsid w:val="00B2091B"/>
    <w:rsid w:val="00B258BD"/>
    <w:rsid w:val="00B50A55"/>
    <w:rsid w:val="00B5676C"/>
    <w:rsid w:val="00B5682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E00CB"/>
    <w:rsid w:val="00BE1A67"/>
    <w:rsid w:val="00C048B3"/>
    <w:rsid w:val="00C06774"/>
    <w:rsid w:val="00C16882"/>
    <w:rsid w:val="00C33DBF"/>
    <w:rsid w:val="00C464A8"/>
    <w:rsid w:val="00C62E5F"/>
    <w:rsid w:val="00C63BD2"/>
    <w:rsid w:val="00C70F16"/>
    <w:rsid w:val="00C744B2"/>
    <w:rsid w:val="00C84DF2"/>
    <w:rsid w:val="00CD0873"/>
    <w:rsid w:val="00CD22AC"/>
    <w:rsid w:val="00CD25A8"/>
    <w:rsid w:val="00CD3195"/>
    <w:rsid w:val="00CE2052"/>
    <w:rsid w:val="00CE636E"/>
    <w:rsid w:val="00D008F6"/>
    <w:rsid w:val="00D47343"/>
    <w:rsid w:val="00D57479"/>
    <w:rsid w:val="00D618EB"/>
    <w:rsid w:val="00D81B9B"/>
    <w:rsid w:val="00D824D3"/>
    <w:rsid w:val="00D82F9D"/>
    <w:rsid w:val="00DC017E"/>
    <w:rsid w:val="00DC2ED1"/>
    <w:rsid w:val="00DC45DA"/>
    <w:rsid w:val="00DD4353"/>
    <w:rsid w:val="00DF6ACB"/>
    <w:rsid w:val="00E075CD"/>
    <w:rsid w:val="00E25DCB"/>
    <w:rsid w:val="00E260E1"/>
    <w:rsid w:val="00E36CAC"/>
    <w:rsid w:val="00E60336"/>
    <w:rsid w:val="00E608E7"/>
    <w:rsid w:val="00E67419"/>
    <w:rsid w:val="00E74BD9"/>
    <w:rsid w:val="00E92D16"/>
    <w:rsid w:val="00EA5B66"/>
    <w:rsid w:val="00EC1C5A"/>
    <w:rsid w:val="00EC3FF6"/>
    <w:rsid w:val="00ED0753"/>
    <w:rsid w:val="00ED19B0"/>
    <w:rsid w:val="00ED7A55"/>
    <w:rsid w:val="00EE7AFC"/>
    <w:rsid w:val="00EF1155"/>
    <w:rsid w:val="00F16A33"/>
    <w:rsid w:val="00F1712A"/>
    <w:rsid w:val="00F41BC2"/>
    <w:rsid w:val="00F571C5"/>
    <w:rsid w:val="00F73F84"/>
    <w:rsid w:val="00F7749C"/>
    <w:rsid w:val="00F84DDF"/>
    <w:rsid w:val="00F84DF4"/>
    <w:rsid w:val="00FA2519"/>
    <w:rsid w:val="00FA5298"/>
    <w:rsid w:val="00FA6576"/>
    <w:rsid w:val="00FB45BA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56A53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B061-474D-41D0-8791-4F27DF8A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3192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3</cp:revision>
  <cp:lastPrinted>2019-09-27T11:20:00Z</cp:lastPrinted>
  <dcterms:created xsi:type="dcterms:W3CDTF">2019-09-26T12:50:00Z</dcterms:created>
  <dcterms:modified xsi:type="dcterms:W3CDTF">2019-09-27T11:20:00Z</dcterms:modified>
</cp:coreProperties>
</file>