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70" w:rsidRDefault="00471770" w:rsidP="00471770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</w:t>
      </w:r>
      <w:r w:rsidRPr="009D1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nr </w:t>
      </w:r>
      <w:r w:rsidR="009D18C6" w:rsidRPr="009D1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1a</w:t>
      </w:r>
      <w:r w:rsidRPr="009D1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do SIWZ</w:t>
      </w:r>
    </w:p>
    <w:p w:rsidR="00471770" w:rsidRDefault="00471770" w:rsidP="00D26369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606D66" w:rsidRDefault="004641C5" w:rsidP="00D26369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606D66" w:rsidRDefault="004641C5" w:rsidP="00D26369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606D66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47177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606D66" w:rsidRDefault="004641C5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</w:t>
      </w:r>
      <w:bookmarkStart w:id="0" w:name="_GoBack"/>
      <w:bookmarkEnd w:id="0"/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 sporządzenie dokumentacji pt.: „</w:t>
      </w:r>
      <w:r w:rsidR="00F51CEA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Uzupełnienie stanu wiedzy w zakresie miejsc występowania wydry i traszki grzebieniastej </w:t>
      </w:r>
      <w:r w:rsidR="00D02B08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bobra europejskiego - stanu zachowania przedmiotów</w:t>
      </w:r>
      <w:r w:rsidR="00F51CEA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i ewentualnej potrzeby realizacji działań ochronnych w obszarze Natura 2000 Doliny Brdy i Stążki w Borach Tucholskich PLH040023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”.</w:t>
      </w:r>
    </w:p>
    <w:p w:rsidR="004641C5" w:rsidRPr="00606D66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</w:t>
      </w:r>
      <w:r w:rsidR="00051A5D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inwentaryzacji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051A5D" w:rsidRPr="00606D66" w:rsidRDefault="004641C5" w:rsidP="00D3704E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Przeprowadzenie prac terenowych</w:t>
      </w:r>
      <w:r w:rsidR="00051A5D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051A5D" w:rsidRPr="00606D66" w:rsidRDefault="004641C5" w:rsidP="00051A5D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–</w:t>
      </w:r>
      <w:r w:rsidR="00051A5D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obszarze Natura 2000 </w:t>
      </w:r>
      <w:r w:rsidR="00304333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Doliny Brdy i Stążki w Borach Tucholskich PLH040023</w:t>
      </w:r>
      <w:r w:rsidR="005E07F6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14528B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wyłącze</w:t>
      </w:r>
      <w:r w:rsidR="00CD0EBC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niem rezerwatów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przyrody</w:t>
      </w:r>
      <w:r w:rsidR="00CD0EBC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04333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Źródła rzeki Stążki, Bagno Grzybna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czyli na pow. ok. </w:t>
      </w:r>
      <w:r w:rsidR="0096681F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3694,64</w:t>
      </w:r>
      <w:r w:rsidR="009A69C7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 w celu uzupełnienia stanu wiedzy na temat </w:t>
      </w:r>
      <w:r w:rsidR="0085392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stanu ochrony populacji oraz występowania i stanu </w:t>
      </w:r>
      <w:r w:rsidR="00057BD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ochrony </w:t>
      </w:r>
      <w:r w:rsidR="0085392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siedlisk </w:t>
      </w:r>
      <w:bookmarkStart w:id="1" w:name="_Hlk500427148"/>
      <w:r w:rsidR="00057BD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wydry </w:t>
      </w:r>
      <w:r w:rsidR="00057BD4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Lutra </w:t>
      </w:r>
      <w:proofErr w:type="spellStart"/>
      <w:r w:rsidR="00057BD4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lutra</w:t>
      </w:r>
      <w:proofErr w:type="spellEnd"/>
      <w:r w:rsidR="00057BD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(1355)</w:t>
      </w:r>
      <w:r w:rsidR="00D7714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traszki grzebieniastej </w:t>
      </w:r>
      <w:proofErr w:type="spellStart"/>
      <w:r w:rsidR="00D77142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Triturus</w:t>
      </w:r>
      <w:proofErr w:type="spellEnd"/>
      <w:r w:rsidR="00D77142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="00D77142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cristatus</w:t>
      </w:r>
      <w:proofErr w:type="spellEnd"/>
      <w:r w:rsidR="00D77142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 w:rsidR="00D7714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(1166)</w:t>
      </w:r>
      <w:r w:rsidR="00051A5D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4641C5" w:rsidRPr="00606D66" w:rsidRDefault="00051A5D" w:rsidP="00051A5D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– </w:t>
      </w:r>
      <w:r w:rsidR="0066412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obszarze rezerwatu przyrody Bagna nad Stążką pokrywającym się z obszarem Natura 2000 Doliny Brdy i Stążki w Borach Tucholskich, czyli na powierzchni ok. </w:t>
      </w:r>
      <w:r w:rsidR="0026492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356,94 </w:t>
      </w:r>
      <w:r w:rsidR="0066412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 w celu uzupełnienia stanu wiedzy na temat stanu ochrony populacji oraz występowania i stanu ochrony siedlisk bobra europejskiego </w:t>
      </w:r>
      <w:proofErr w:type="spellStart"/>
      <w:r w:rsidR="00664122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Castor</w:t>
      </w:r>
      <w:proofErr w:type="spellEnd"/>
      <w:r w:rsidR="00664122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="00664122"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fiber</w:t>
      </w:r>
      <w:proofErr w:type="spellEnd"/>
      <w:r w:rsidR="0066412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</w:t>
      </w:r>
      <w:r w:rsidR="00B35FA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1337</w:t>
      </w:r>
      <w:r w:rsidR="0066412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</w:t>
      </w:r>
      <w:r w:rsidR="0085392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  <w:r w:rsidR="00671C48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bookmarkEnd w:id="1"/>
    <w:p w:rsidR="004641C5" w:rsidRPr="00606D66" w:rsidRDefault="004641C5" w:rsidP="00D3704E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Przedstawienie charakteryst</w:t>
      </w:r>
      <w:r w:rsidR="0085392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yki</w:t>
      </w:r>
      <w:r w:rsidR="00BF768F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rozmieszczenia ww. przedmiotów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</w:t>
      </w:r>
      <w:r w:rsidR="00D3704E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na terenie objętym inwentaryzacją.</w:t>
      </w:r>
    </w:p>
    <w:p w:rsidR="004641C5" w:rsidRPr="00606D66" w:rsidRDefault="008266E1" w:rsidP="00D26369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Ocena</w:t>
      </w:r>
      <w:r w:rsidR="004641C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BF768F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stanu ochrony zinwentaryzowanych przedmiotów</w:t>
      </w:r>
      <w:r w:rsidR="004641C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ochrony.</w:t>
      </w:r>
    </w:p>
    <w:p w:rsidR="004641C5" w:rsidRPr="00606D66" w:rsidRDefault="008266E1" w:rsidP="00D2636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Identyfikacja oraz analiza</w:t>
      </w:r>
      <w:r w:rsidR="004641C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rzeczywistych i potencjalnych zagrożeń dla </w:t>
      </w:r>
      <w:r w:rsidR="00E473C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4641C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inwentary</w:t>
      </w:r>
      <w:r w:rsidR="00BF768F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zowanych</w:t>
      </w:r>
      <w:r w:rsidR="004641C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BF768F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przedmiotów</w:t>
      </w:r>
      <w:r w:rsidR="00E473C4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</w:t>
      </w:r>
      <w:r w:rsidR="004641C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ich opis. </w:t>
      </w:r>
    </w:p>
    <w:p w:rsidR="004641C5" w:rsidRPr="00606D66" w:rsidRDefault="004641C5" w:rsidP="00D2636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celów działań ochronnych dla </w:t>
      </w:r>
      <w:r w:rsidR="005D4671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zinwentaryzowanych przedmiotów</w:t>
      </w:r>
      <w:r w:rsidR="001E404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606D66" w:rsidRDefault="004641C5" w:rsidP="00D2636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działań ochronnych dla </w:t>
      </w:r>
      <w:r w:rsidR="005D4671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zinwentaryzowanych przedmiotów</w:t>
      </w:r>
      <w:r w:rsidR="001E404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995F10" w:rsidRPr="00606D66" w:rsidRDefault="002238FD" w:rsidP="003B102E">
      <w:pPr>
        <w:pStyle w:val="Akapitzlist"/>
        <w:numPr>
          <w:ilvl w:val="0"/>
          <w:numId w:val="28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6D66">
        <w:rPr>
          <w:rFonts w:ascii="Times New Roman" w:hAnsi="Times New Roman"/>
          <w:sz w:val="24"/>
          <w:szCs w:val="24"/>
        </w:rPr>
        <w:t xml:space="preserve">Projekt aktualizacji danych zawartych w SDF, dotyczących zinwentaryzowanych przedmiotów ochrony, z uwzględnieniem danych zawartych w dokumentacji do planów ochrony rezerwatów przyrody: </w:t>
      </w: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Źródła rzeki Stążki, Bagno Grzybna, Bagna nad Stążką</w:t>
      </w:r>
      <w:r w:rsidRPr="00606D66">
        <w:rPr>
          <w:rFonts w:ascii="Times New Roman" w:hAnsi="Times New Roman"/>
          <w:sz w:val="24"/>
          <w:szCs w:val="24"/>
        </w:rPr>
        <w:t>.</w:t>
      </w:r>
    </w:p>
    <w:p w:rsidR="00781E01" w:rsidRPr="00606D66" w:rsidRDefault="00781E01" w:rsidP="003B102E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Projekt zmiany zarządzenia w sprawie ustanowienia Planu Zadań Ochronnych dla obszaru Natura 2000 w części dotyczącej analizowanego obszaru wraz z jego uzasadnieniem merytorycznym lub uzasadnienie braku takiej potrzeby.</w:t>
      </w:r>
    </w:p>
    <w:p w:rsidR="004641C5" w:rsidRPr="00606D66" w:rsidRDefault="004641C5" w:rsidP="003B102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Opracowanie dokumentacji w wersji papierowej oraz elektronicznej, w tym cyfrowe warstwy informacyjne w formacie ESRI </w:t>
      </w:r>
      <w:proofErr w:type="spellStart"/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3B102E" w:rsidRPr="00606D66">
        <w:rPr>
          <w:rFonts w:ascii="Times New Roman" w:hAnsi="Times New Roman"/>
          <w:kern w:val="0"/>
          <w:sz w:val="24"/>
          <w:szCs w:val="24"/>
          <w:lang w:eastAsia="ar-SA"/>
        </w:rPr>
        <w:t>, dokumentujących rozmieszczenie zinwentaryzowanych przedmiotów ochrony w obszarze Natura 2000 oraz lokalizację stanowisk badawczych, wyznaczone powierzchnie/</w:t>
      </w:r>
      <w:proofErr w:type="spellStart"/>
      <w:r w:rsidR="003B102E" w:rsidRPr="00606D66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3B102E" w:rsidRPr="00606D66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2000.</w:t>
      </w:r>
    </w:p>
    <w:p w:rsidR="004641C5" w:rsidRPr="00606D66" w:rsidRDefault="004641C5" w:rsidP="00D26369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606D66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782B2B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F942E3" w:rsidRPr="00606D66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EB5C6E" w:rsidRPr="00606D66" w:rsidRDefault="00F942E3" w:rsidP="00EB5C6E">
      <w:pPr>
        <w:pStyle w:val="Akapitzlist"/>
        <w:numPr>
          <w:ilvl w:val="0"/>
          <w:numId w:val="36"/>
        </w:numPr>
        <w:autoSpaceDN/>
        <w:spacing w:after="0" w:line="276" w:lineRule="auto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W</w:t>
      </w:r>
      <w:r w:rsidR="00D51EC7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ykonaniu ekspertyzy w zakresie rzeczywistego rozmieszczenia populacji </w:t>
      </w:r>
      <w:r w:rsidR="005D4671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wydry</w:t>
      </w:r>
      <w:r w:rsidR="00EB5C6E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(</w:t>
      </w:r>
      <w:r w:rsidR="005D4671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1355</w:t>
      </w:r>
      <w:r w:rsidR="00EB5C6E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) i traszki grzebieniastej (1166)</w:t>
      </w:r>
      <w:r w:rsidR="000E42FD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oraz bobra europejskiego (1337)</w:t>
      </w:r>
      <w:r w:rsidR="00D54797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, </w:t>
      </w:r>
      <w:r w:rsidR="00EB5C6E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ich</w:t>
      </w:r>
      <w:r w:rsidR="00D54797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liczebności</w:t>
      </w:r>
      <w:r w:rsidR="00DF0D20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, korytarzy migracji</w:t>
      </w:r>
      <w:r w:rsidR="00D51EC7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oraz oceny stanu populacji gatun</w:t>
      </w:r>
      <w:r w:rsidR="00EB5C6E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ków</w:t>
      </w:r>
      <w:r w:rsidR="000E42FD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br/>
      </w:r>
      <w:r w:rsidR="00D51EC7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i oceny stanu zachowania siedliska gatun</w:t>
      </w:r>
      <w:r w:rsidR="00EB5C6E" w:rsidRPr="00606D6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ków,</w:t>
      </w:r>
      <w:r w:rsidRPr="00606D66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poprzedzone weryfikacją dostępnych danych literaturowych pod kątem występowania i stanu ochro</w:t>
      </w:r>
      <w:r w:rsidR="00EB5C6E" w:rsidRPr="00606D66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ny ww. przedmiotów</w:t>
      </w:r>
      <w:r w:rsidRPr="00606D66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ochrony.</w:t>
      </w:r>
    </w:p>
    <w:p w:rsidR="00EB5C6E" w:rsidRPr="00606D66" w:rsidRDefault="00EB5C6E" w:rsidP="002213E0">
      <w:pPr>
        <w:pStyle w:val="Akapitzlist"/>
        <w:numPr>
          <w:ilvl w:val="0"/>
          <w:numId w:val="36"/>
        </w:numPr>
        <w:autoSpaceDN/>
        <w:spacing w:after="0" w:line="276" w:lineRule="auto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606D6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Inwentaryzacja herpetologiczna </w:t>
      </w:r>
      <w:r w:rsidR="005D4671" w:rsidRPr="00606D6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traszki </w:t>
      </w:r>
      <w:r w:rsidRPr="00606D6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obejmować ma całość obszaru </w:t>
      </w:r>
      <w:r w:rsidR="00D3704E" w:rsidRPr="00606D66">
        <w:rPr>
          <w:rFonts w:ascii="Times New Roman" w:hAnsi="Times New Roman"/>
          <w:bCs/>
          <w:iCs/>
          <w:sz w:val="24"/>
          <w:szCs w:val="24"/>
          <w:lang w:eastAsia="pl-PL"/>
        </w:rPr>
        <w:br/>
      </w:r>
      <w:r w:rsidRPr="00606D6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w zakresie ustalenia lokalizacji miejsc rozrodu gatunku, oszacowania wielkości populacji rozrodczej, ustalenia istotnych obszarów </w:t>
      </w:r>
      <w:proofErr w:type="spellStart"/>
      <w:r w:rsidRPr="00606D66">
        <w:rPr>
          <w:rFonts w:ascii="Times New Roman" w:hAnsi="Times New Roman"/>
          <w:bCs/>
          <w:iCs/>
          <w:sz w:val="24"/>
          <w:szCs w:val="24"/>
          <w:lang w:eastAsia="pl-PL"/>
        </w:rPr>
        <w:t>zimowiskowych</w:t>
      </w:r>
      <w:proofErr w:type="spellEnd"/>
      <w:r w:rsidRPr="00606D6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oraz szlaków migracji wiosennej i jesiennej pod kątem potencjalnych konfliktów szlaków migracji z infrastrukturą drogową. Realizacja zgodnie </w:t>
      </w:r>
      <w:r w:rsidR="00D3704E" w:rsidRPr="00606D66">
        <w:rPr>
          <w:rFonts w:ascii="Times New Roman" w:hAnsi="Times New Roman"/>
          <w:bCs/>
          <w:iCs/>
          <w:sz w:val="24"/>
          <w:szCs w:val="24"/>
          <w:lang w:eastAsia="pl-PL"/>
        </w:rPr>
        <w:br/>
      </w:r>
      <w:r w:rsidRPr="00606D66">
        <w:rPr>
          <w:rFonts w:ascii="Times New Roman" w:hAnsi="Times New Roman"/>
          <w:bCs/>
          <w:iCs/>
          <w:sz w:val="24"/>
          <w:szCs w:val="24"/>
          <w:lang w:eastAsia="pl-PL"/>
        </w:rPr>
        <w:t>z obowiązującą metodyką Państwowego Monitoringu Środowiska.</w:t>
      </w:r>
    </w:p>
    <w:p w:rsidR="004641C5" w:rsidRPr="00606D66" w:rsidRDefault="004641C5" w:rsidP="00D2636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Ocenie reprezentatywnej ilości stanowisk </w:t>
      </w:r>
      <w:r w:rsidR="000E42FD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bobra, </w:t>
      </w:r>
      <w:r w:rsidR="00444AE1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wydry</w:t>
      </w:r>
      <w:r w:rsidR="002213E0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i traszki grzebieniastej</w:t>
      </w:r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08360A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D3704E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606D6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ocenie będą podlegać:</w:t>
      </w:r>
    </w:p>
    <w:p w:rsidR="004641C5" w:rsidRPr="00606D66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wszystkie </w:t>
      </w:r>
      <w:r w:rsidR="003B02F9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stanowiska gatunku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do 5 stanowisk gatunku</w:t>
      </w:r>
      <w:r w:rsidR="00D3704E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 </w:t>
      </w:r>
      <w:r w:rsidR="003B02F9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gatunku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5-10 stanowisk gatunku</w:t>
      </w:r>
      <w:r w:rsidR="00D3704E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50% </w:t>
      </w:r>
      <w:r w:rsidR="003B02F9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gatunku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dla stwierdzenia po</w:t>
      </w:r>
      <w:r w:rsidR="003B02F9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wyżej 10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stanowisk gatunku. </w:t>
      </w:r>
      <w:bookmarkStart w:id="2" w:name="_Hlk504033005"/>
    </w:p>
    <w:bookmarkEnd w:id="2"/>
    <w:p w:rsidR="004641C5" w:rsidRPr="00606D66" w:rsidRDefault="004641C5" w:rsidP="00D2636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cenie stanu ochrony zinwentaryzowanych </w:t>
      </w:r>
      <w:r w:rsidR="0008360A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populacji gatunków</w:t>
      </w:r>
      <w:r w:rsidR="00EB625A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oraz ich siedlisk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przez ekspert</w:t>
      </w:r>
      <w:r w:rsidR="00EB625A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ów - specjalistów od określonego gatunku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zgodnie</w:t>
      </w:r>
      <w:r w:rsidR="00444AE1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D3704E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="00444AE1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 metodykami opracowanymi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dla potrzeb Państwowego Monitoringu </w:t>
      </w:r>
      <w:r w:rsidR="000E42FD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Środowiska (PMŚ), opublikowanymi</w:t>
      </w:r>
      <w:r w:rsidR="00EB625A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w pracy dostępnej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pod adresem internetowym </w:t>
      </w:r>
      <w:hyperlink r:id="rId8" w:history="1">
        <w:r w:rsidRPr="00606D66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</w:rPr>
          <w:t>http://siedliska.gios.gov.pl/pl/publikacje/przewodniki-metodyczne</w:t>
        </w:r>
      </w:hyperlink>
      <w:r w:rsidR="00FB187D" w:rsidRPr="00606D6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 </w:t>
      </w:r>
      <w:r w:rsidR="00FB187D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FB187D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606D66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3" w:name="_Hlk502825364"/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dla </w:t>
      </w:r>
      <w:r w:rsidR="00B37C75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z</w:t>
      </w:r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inwentaryzowan</w:t>
      </w:r>
      <w:r w:rsidR="000E7260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ych</w:t>
      </w:r>
      <w:r w:rsidR="00B37C75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0E7260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populacji </w:t>
      </w:r>
      <w:r w:rsidR="000E42FD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bobra, </w:t>
      </w:r>
      <w:r w:rsidR="00444AE1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wydry</w:t>
      </w:r>
      <w:r w:rsidR="0008360A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i traszki grzebieniastej</w:t>
      </w:r>
      <w:r w:rsidR="000E7260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, </w:t>
      </w:r>
      <w:r w:rsidR="0008360A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ich</w:t>
      </w:r>
      <w:r w:rsidR="000E7260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siedlisk</w:t>
      </w:r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bookmarkEnd w:id="3"/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oraz opis</w:t>
      </w:r>
      <w:r w:rsidR="0008360A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zagrożeń</w:t>
      </w:r>
      <w:r w:rsidR="009A36B0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BD3151" w:rsidRPr="00606D66" w:rsidRDefault="004641C5" w:rsidP="00BD3151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Wykonawca ustali listę zagrożeń i następnie określi ich</w:t>
      </w:r>
      <w:r w:rsidR="00AC2924"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charakter oraz wpływ na </w:t>
      </w:r>
      <w:r w:rsidR="00810304"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inwentaryzowane gatunki</w:t>
      </w: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i</w:t>
      </w:r>
      <w:r w:rsidR="00AC2924"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810304"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ich</w:t>
      </w: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siedliska, dokonując powiązania relacji przyczynowo</w:t>
      </w:r>
      <w:r w:rsidR="00BB436F"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skutkowych ze wskaźnikami decydującymi o </w:t>
      </w:r>
      <w:r w:rsidR="00810304"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ich</w:t>
      </w: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stanie ochrony.</w:t>
      </w:r>
      <w:r w:rsidR="00AC2924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BD3151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</w:t>
      </w:r>
      <w:r w:rsidR="00BD3151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 xml:space="preserve">wypełniania Standardowego Formularza Danych obszaru Natura 2000. Wersja 2012.1, dostępnej pod linkiem: </w:t>
      </w:r>
    </w:p>
    <w:p w:rsidR="004641C5" w:rsidRPr="00606D66" w:rsidRDefault="008B6856" w:rsidP="00184BDF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BD3151" w:rsidRPr="00606D66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0222E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Wykonawca zidentyfikuje zagrożenia istniejące (tj. czynniki mogące wpływać istotnie negatywnie na perspektywy zachowania przedmiotów ochrony, których wpływ obserwowany jest obecnie) i potencjalne (czynniki mogące</w:t>
      </w:r>
      <w:r w:rsidR="0014528B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D3704E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gatunków</w:t>
      </w:r>
      <w:r w:rsidR="004B5E7F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i ich siedlisk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)</w:t>
      </w:r>
      <w:r w:rsidR="000222E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B47C72" w:rsidRPr="00606D66" w:rsidRDefault="004641C5" w:rsidP="00D2636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</w:t>
      </w:r>
      <w:r w:rsidR="00D71D38" w:rsidRPr="00606D6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, w szczególności drogową,</w:t>
      </w:r>
      <w:r w:rsidRPr="00606D6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 xml:space="preserve"> mogącą przyczynić się do pogorszenia stanu siedlisk oraz populacji gatunków w obszarze </w:t>
      </w:r>
      <w:r w:rsidR="00D3704E" w:rsidRPr="00606D6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br/>
      </w:r>
      <w:r w:rsidRPr="00606D6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lub stanu zachowania szlaków migracji zwierząt;</w:t>
      </w:r>
    </w:p>
    <w:p w:rsidR="004641C5" w:rsidRPr="00606D66" w:rsidRDefault="004641C5" w:rsidP="00D2636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4" w:name="_Hlk502217129"/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</w:t>
      </w:r>
      <w:r w:rsidR="00D3704E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się do pogorszenia stanu </w:t>
      </w:r>
      <w:r w:rsidR="00A9295E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ochrony gatunków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w obszarze lub stanu </w:t>
      </w:r>
      <w:r w:rsidR="00A9295E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ochrony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A9295E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ich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siedlisk</w:t>
      </w:r>
      <w:bookmarkEnd w:id="4"/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i szlaków migracji</w:t>
      </w:r>
      <w:r w:rsidR="000222E2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606D66" w:rsidRDefault="004641C5" w:rsidP="00D2636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Ustalenie celów działań ochronnych dla </w:t>
      </w:r>
      <w:r w:rsidR="00F73C42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z</w:t>
      </w:r>
      <w:r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inwentaryzowanych przedmiotów ochrony</w:t>
      </w:r>
      <w:r w:rsidR="00F73C42" w:rsidRPr="00606D6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606D66" w:rsidRDefault="004641C5" w:rsidP="00D26369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606D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</w:t>
      </w:r>
      <w:r w:rsidR="00D71D38" w:rsidRPr="00606D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alnego stanu ochrony przedmiotów</w:t>
      </w:r>
      <w:r w:rsidRPr="00606D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ochrony, która powinna uwzględniać parame</w:t>
      </w:r>
      <w:r w:rsidR="003606A0" w:rsidRPr="00606D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try „właściwego stanu ochrony”</w:t>
      </w:r>
      <w:r w:rsidR="00EB3ADD" w:rsidRPr="00606D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(FV)</w:t>
      </w:r>
      <w:r w:rsidR="003606A0" w:rsidRPr="00606D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606D66" w:rsidRDefault="004641C5" w:rsidP="00D26369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</w:t>
      </w:r>
      <w:r w:rsidR="0096426A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ciwego stanu ochrony przedmiotów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ochrony lub jego osiągnięcia, jeżeli ten stan został oceniony jako niewłaściwy lub zły, dążąc do uzyskania „stanu optymalnego”;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logiką planowania, tj. cele operacyjne powinny zbliżać nas do osiągnięcia celu strategicznego, a także być związane z ograniczaniem zagrożeń;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606D66" w:rsidRDefault="004641C5" w:rsidP="00D26369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606D66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odpowiednie działania ochronne w odniesieniu </w:t>
      </w:r>
      <w:r w:rsidR="00D3704E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do przyjętych celów działań ochronnych, które mogą dotyczyć między innymi</w:t>
      </w:r>
      <w:r w:rsidR="00C21732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C21732"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606D66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muszą być indywidualn</w:t>
      </w:r>
      <w:r w:rsidR="000E42FD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ie zaprojektowane i dostosowane 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do </w:t>
      </w:r>
      <w:r w:rsidR="00A5104B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uwarunkowań terenowych, w tym sposobu użytkowania gruntów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stworzą standardowy pakiet działań </w:t>
      </w:r>
      <w:r w:rsidR="00A50AF3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ochronnych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polegają na określeniu ogólnych </w:t>
      </w:r>
      <w:r w:rsidR="000E42FD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reguł i procedur gospodarowania</w:t>
      </w:r>
      <w:r w:rsidR="000E42FD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="00D71D38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(np. ogólnych reguł do stosowania w gospodarce rybackiej) 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lub mechanizmów o ogólnym zastosowaniu.</w:t>
      </w:r>
    </w:p>
    <w:p w:rsidR="004641C5" w:rsidRPr="00606D66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Działania ochronne powinny obejmować również działania w zakresie monitoringu osiągnięcia celów działań ochronnych oraz monitoringu stanu ochrony </w:t>
      </w:r>
      <w:r w:rsidR="00675D44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gatunków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Wykonawca zweryfikuje zakres zaplanowanego w obowiązującym PZO monitoringu, </w:t>
      </w:r>
      <w:r w:rsidR="00F5411E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wyznaczy stanowiska proponowane do monitoringu oraz na postawie przeprowadzonych badań zaproponuje zmiany w PZO (jeżeli zostanie stwierdzona taka potrzeba)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</w:t>
      </w:r>
    </w:p>
    <w:p w:rsidR="004641C5" w:rsidRPr="00606D66" w:rsidRDefault="004641C5" w:rsidP="00D2636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rodzaj działań ochronnych;</w:t>
      </w:r>
      <w:r w:rsidRPr="00606D6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zakres prac przewidzianych do realizacji i w razie potrzeby warunki </w:t>
      </w:r>
      <w:r w:rsidR="00D3704E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co do sposobu ich wykonania;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szacowania,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monitorowanie;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606D66" w:rsidRDefault="004641C5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606D66" w:rsidRDefault="0014692F" w:rsidP="00D2636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lokalizację</w:t>
      </w:r>
      <w:r w:rsidR="004641C5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05145E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punktów</w:t>
      </w: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monitoringowych</w:t>
      </w:r>
      <w:r w:rsidR="00BB436F"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606D66" w:rsidRDefault="004641C5" w:rsidP="00D26369">
      <w:pPr>
        <w:autoSpaceDN/>
        <w:ind w:left="1418" w:hanging="1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606D66" w:rsidRDefault="004641C5" w:rsidP="00D2636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FD2384" w:rsidRPr="00606D66" w:rsidRDefault="004641C5" w:rsidP="00FD2384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FD2384" w:rsidRPr="00606D66" w:rsidRDefault="00FD2384" w:rsidP="00FD2384">
      <w:pPr>
        <w:pStyle w:val="Akapitzlist"/>
        <w:numPr>
          <w:ilvl w:val="0"/>
          <w:numId w:val="35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6D66">
        <w:rPr>
          <w:rFonts w:ascii="Times New Roman" w:hAnsi="Times New Roman"/>
          <w:sz w:val="24"/>
          <w:szCs w:val="24"/>
        </w:rPr>
        <w:t xml:space="preserve">Projekt aktualizacji danych zawartych w SDF, dotyczących zinwentaryzowanych przedmiotów ochrony, z uwzględnieniem danych zawartych w dokumentacji do planów ochrony rezerwatów przyrody: </w:t>
      </w: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Źródła rzeki Stążki, Bagno Grzybna, Bagna nad Stążką</w:t>
      </w:r>
      <w:r w:rsidRPr="00606D66">
        <w:rPr>
          <w:rFonts w:ascii="Times New Roman" w:hAnsi="Times New Roman"/>
          <w:sz w:val="24"/>
          <w:szCs w:val="24"/>
        </w:rPr>
        <w:t>.</w:t>
      </w:r>
    </w:p>
    <w:p w:rsidR="00E20B56" w:rsidRPr="00606D66" w:rsidRDefault="00E20B56" w:rsidP="00E20B56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Projekt zmiany zarządzenia w sprawie ustanowienia planu zadań ochronnych dla obszaru Natura 2000 w części dotyczącej analizowanego obszaru wraz z jego uzasadnieniem merytorycznym lub uzasadnieniem braku takiej potrzeby. </w:t>
      </w:r>
    </w:p>
    <w:p w:rsidR="00A96E93" w:rsidRPr="00606D66" w:rsidRDefault="009B1116" w:rsidP="009B1116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Standard GIS</w:t>
      </w:r>
      <w:r w:rsidR="00A96E93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A96E93" w:rsidRPr="00606D66" w:rsidRDefault="00A96E93" w:rsidP="00A96E93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A96E93" w:rsidRPr="00606D66" w:rsidRDefault="00A96E93" w:rsidP="00A96E93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A96E93" w:rsidRPr="00B07FB1" w:rsidRDefault="00A96E93" w:rsidP="00A96E93">
      <w:pPr>
        <w:pStyle w:val="Akapitzlist"/>
        <w:numPr>
          <w:ilvl w:val="0"/>
          <w:numId w:val="47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B07FB1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sporządzone zgodnie </w:t>
      </w:r>
      <w:r w:rsidR="006A36FD" w:rsidRPr="00B07FB1">
        <w:rPr>
          <w:rFonts w:ascii="Times New Roman" w:hAnsi="Times New Roman"/>
          <w:kern w:val="0"/>
          <w:sz w:val="24"/>
          <w:szCs w:val="24"/>
          <w:lang w:eastAsia="ar-SA"/>
        </w:rPr>
        <w:t>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stanowisk badawczych, wyznaczone powierzchnie/</w:t>
      </w:r>
      <w:proofErr w:type="spellStart"/>
      <w:r w:rsidR="006A36FD" w:rsidRPr="00B07FB1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6A36FD" w:rsidRPr="00B07FB1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</w:t>
      </w:r>
      <w:r w:rsidRPr="00B07FB1">
        <w:rPr>
          <w:rFonts w:ascii="Times New Roman" w:hAnsi="Times New Roman"/>
          <w:kern w:val="0"/>
          <w:sz w:val="24"/>
          <w:szCs w:val="24"/>
          <w:lang w:eastAsia="ar-SA"/>
        </w:rPr>
        <w:t>;</w:t>
      </w:r>
    </w:p>
    <w:p w:rsidR="00A96E93" w:rsidRPr="00606D66" w:rsidRDefault="00A96E93" w:rsidP="00A96E93">
      <w:pPr>
        <w:pStyle w:val="Akapitzlist"/>
        <w:numPr>
          <w:ilvl w:val="0"/>
          <w:numId w:val="47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układ współrzędnych PL-1992 (EPSG: 2180);</w:t>
      </w:r>
    </w:p>
    <w:p w:rsidR="00A96E93" w:rsidRPr="00606D66" w:rsidRDefault="00A96E93" w:rsidP="00A96E93">
      <w:pPr>
        <w:pStyle w:val="Akapitzlist"/>
        <w:numPr>
          <w:ilvl w:val="0"/>
          <w:numId w:val="47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 xml:space="preserve">format zapisu warstw wektorowych to ESRI </w:t>
      </w:r>
      <w:proofErr w:type="spellStart"/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shp</w:t>
      </w:r>
      <w:proofErr w:type="spellEnd"/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);</w:t>
      </w:r>
    </w:p>
    <w:p w:rsidR="00A96E93" w:rsidRPr="00606D66" w:rsidRDefault="00A96E93" w:rsidP="00A96E93">
      <w:pPr>
        <w:pStyle w:val="Akapitzlist"/>
        <w:numPr>
          <w:ilvl w:val="0"/>
          <w:numId w:val="47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606D66">
        <w:rPr>
          <w:rFonts w:ascii="Times New Roman" w:hAnsi="Times New Roman"/>
          <w:kern w:val="0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1D5B79" w:rsidRPr="006A36FD" w:rsidRDefault="001D5B79" w:rsidP="006A36FD">
      <w:p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4641C5" w:rsidRPr="00606D66" w:rsidRDefault="004641C5" w:rsidP="00A96E93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Dokumentacja</w:t>
      </w:r>
      <w:r w:rsidR="00184BDF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606D66" w:rsidRDefault="004641C5" w:rsidP="00D26369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formie dokumentacji (tekstowej i elektronicznej na płytach CD/DVD) w trzech jednakowych egzemplarzach.</w:t>
      </w:r>
    </w:p>
    <w:p w:rsidR="004641C5" w:rsidRPr="00606D66" w:rsidRDefault="004641C5" w:rsidP="00D2636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606D66" w:rsidRDefault="004641C5" w:rsidP="00D26369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9325F7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wypełniony załącznik nr 1 do </w:t>
      </w:r>
      <w:r w:rsidR="006A36F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opisu przedmiotu zamówienia </w:t>
      </w:r>
      <w:r w:rsidR="009325F7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– Szablon dokumentacji dot. uzupełnienia stanu wiedzy o przedmiotach ochrony w obszarze Natura 2000 </w:t>
      </w:r>
      <w:r w:rsidR="0096426A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Doliny Brdy i Stążki w Borach Tucholskich PLH040023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</w:t>
      </w:r>
      <w:r w:rsidR="00F13918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ch, w tym karty obserwacji przedmiot</w:t>
      </w:r>
      <w:r w:rsidR="009325F7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ów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na </w:t>
      </w:r>
      <w:r w:rsidR="0046160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punktach monitoringowych,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461602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14528B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PMŚ;</w:t>
      </w:r>
    </w:p>
    <w:p w:rsidR="004641C5" w:rsidRPr="00606D66" w:rsidRDefault="004641C5" w:rsidP="00D2636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606D66" w:rsidRDefault="004641C5" w:rsidP="00D2636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606D66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606D66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D0223C" w:rsidRPr="00606D66" w:rsidRDefault="00D0223C" w:rsidP="00D0223C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B07FB1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B07FB1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dokumentację należy przedłożyć w </w:t>
      </w:r>
      <w:r w:rsidR="00D30638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dwóch</w:t>
      </w:r>
      <w:r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jednakowych egzemplarzach oprawionych w zieloną twardą oprawę, w sposób uniemożliwiający wydostawanie się kartek, trwale podpisanych z przodu (wygrawerowany napis): „</w:t>
      </w:r>
      <w:r w:rsidR="009467F3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Uzupełnienie stanu wiedzy w zakresie miejsc występowania wydry i traszki grzebieniastej</w:t>
      </w:r>
      <w:r w:rsidR="00D30638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bobra europejskiego</w:t>
      </w:r>
      <w:r w:rsidR="009467F3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- stanu za</w:t>
      </w:r>
      <w:r w:rsidR="00D30638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chowania przedmiotów</w:t>
      </w:r>
      <w:r w:rsidR="009467F3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i ewentualnej potrzeby realizacji działań ochronnych w obszarze Natura 2000 Doliny Brdy i Stążki w Borach Tucholskich PLH040023 </w:t>
      </w:r>
      <w:r w:rsidR="00D30638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(201</w:t>
      </w:r>
      <w:r w:rsidR="00E5792C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D30638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-2020</w:t>
      </w:r>
      <w:r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E040F5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na grzbiecie jeśli szerokość grzbietu na to pozwala</w:t>
      </w:r>
      <w:r w:rsidR="00BB436F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06D66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CC5865" w:rsidRPr="00B07FB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wydruki cyfrowych map tematycznych w formacie A4 lub A3 z </w:t>
      </w:r>
      <w:r w:rsidR="00CC586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zachowaniem odpowiedniej skali</w:t>
      </w:r>
      <w:r w:rsidR="00BB436F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9D18C6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- dokumentację należy opatrzyć logotypami zgodnie z „Zasadami promocji</w:t>
      </w:r>
      <w:r w:rsidR="0014528B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5" w:name="_Hlk502825906"/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nr </w:t>
      </w:r>
      <w:r w:rsidR="009D18C6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bookmarkEnd w:id="5"/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CC586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; </w:t>
      </w:r>
    </w:p>
    <w:p w:rsidR="004641C5" w:rsidRPr="009D18C6" w:rsidRDefault="004641C5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na stronie technicznej (druga strona strony tytułowej) dokumentacji należy umieścić logotypy (w kolorze) Programu Operacyjnego Infrastruktura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i Środowisko, Generalnej Dyrekcji Ochrony Środowiska, Regionalnej Dyrekcji Ochrony Środowiska w Bydgoszczy oraz Unii Europejskiej, zgodnie</w:t>
      </w:r>
      <w:r w:rsidR="00D3704E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14528B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D3704E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="009B2BCD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9D18C6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9B2BCD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SIWZ 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informację o źródle finansowania</w:t>
      </w:r>
      <w:r w:rsidR="0014528B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D3704E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9D18C6" w:rsidRDefault="004641C5" w:rsidP="00D3063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9D18C6" w:rsidRDefault="004641C5" w:rsidP="00D3063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9D18C6" w:rsidRDefault="004641C5" w:rsidP="00D3063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9D18C6" w:rsidRDefault="004641C5" w:rsidP="00D2636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elektronicznej, powinno zawierać: </w:t>
      </w:r>
    </w:p>
    <w:p w:rsidR="008B680A" w:rsidRPr="009D18C6" w:rsidRDefault="008B680A" w:rsidP="008B680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cyfrowe warstwy informacyjne dokumentujące rozmieszczenie zinwentaryzowanych przedmiotów ochrony, lokalizację wyznaczonych punktów badawczych, </w:t>
      </w:r>
      <w:proofErr w:type="spellStart"/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wyznaczone powierzchnie/</w:t>
      </w:r>
      <w:proofErr w:type="spellStart"/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8B680A" w:rsidRPr="009D18C6" w:rsidRDefault="008B680A" w:rsidP="008B680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8B680A" w:rsidRPr="009D18C6" w:rsidRDefault="008B680A" w:rsidP="008B680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8B680A" w:rsidRPr="009D18C6" w:rsidRDefault="008B680A" w:rsidP="008B680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8B680A" w:rsidRPr="009D18C6" w:rsidRDefault="008B680A" w:rsidP="008B680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8B680A" w:rsidRPr="009D18C6" w:rsidRDefault="008B680A" w:rsidP="008B680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2180);</w:t>
      </w:r>
    </w:p>
    <w:p w:rsidR="00322906" w:rsidRPr="009D18C6" w:rsidRDefault="004641C5" w:rsidP="008B680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tekstowego (DOC lub DOCX i PDF); </w:t>
      </w:r>
    </w:p>
    <w:p w:rsidR="00D0223C" w:rsidRPr="009D18C6" w:rsidRDefault="00322906" w:rsidP="00D0223C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8E0EC1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dokumentację fotograficzną</w:t>
      </w:r>
      <w:r w:rsidR="00AD42AB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8B680A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(jednoznacznie opisaną, umożliwiającą identyfikację poszczególnych punktów i </w:t>
      </w:r>
      <w:proofErr w:type="spellStart"/>
      <w:r w:rsidR="008B680A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8B680A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badawczych) – nie mniej niż 1 fotografię każdego zinwentaryzowanego punktu badawczego</w:t>
      </w:r>
      <w:r w:rsidR="003B0104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dokumentację fotograficzną znalezionych </w:t>
      </w:r>
      <w:r w:rsidR="00AA6B74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tam bobrowych, żeremi, śladów</w:t>
      </w:r>
      <w:r w:rsidR="00AA6B74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3B0104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tropów wraz z ich opisem i przypisaniem do punktów badawczych</w:t>
      </w:r>
      <w:r w:rsidR="0097448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(JPG)</w:t>
      </w:r>
      <w:r w:rsidR="004641C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D0223C" w:rsidRPr="009D18C6" w:rsidRDefault="00D0223C" w:rsidP="00D0223C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analizowane dokumenty planistyczne, plany urządzenia lasu, uproszczone plany urządzenia  lasu, itd.;</w:t>
      </w:r>
    </w:p>
    <w:p w:rsidR="004641C5" w:rsidRPr="00606D66" w:rsidRDefault="00322906" w:rsidP="00D26369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na opakowaniach płyt CD/DVD należy umieścić logotypy (w kolorze) Programu Operacyjnego Infrastruktura i Środowisko, Generalnej Dyrekcji Ochrony Środowiska, Regionalnej Dyrekcji Ochrony Środowiska</w:t>
      </w:r>
      <w:r w:rsidR="0014528B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D3704E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Bydgoszczy oraz Unii Europejskiej, zgodnie z „Zasadami promocji</w:t>
      </w:r>
      <w:r w:rsidR="0014528B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D3704E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załączniku </w:t>
      </w:r>
      <w:r w:rsidR="008B680A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9D18C6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8B680A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SIWZ</w:t>
      </w:r>
      <w:r w:rsidR="004641C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D3704E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9D18C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informację o źródle finansowania w brzmieniu:</w:t>
      </w:r>
      <w:r w:rsidR="004641C5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606D66" w:rsidRDefault="004641C5" w:rsidP="00AA6B74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606D66" w:rsidRDefault="004641C5" w:rsidP="00AA6B74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606D66" w:rsidRDefault="004641C5" w:rsidP="00AA6B74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="00BB436F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606D66" w:rsidRDefault="004641C5" w:rsidP="00D26369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606D66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Wykonawca uzyska we własnym zakresie wszelkie wymagane zezwolenia związane</w:t>
      </w:r>
      <w:r w:rsidR="0014528B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606D66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udzielania bieżących informacji odnośnie zakresu zrealizowanych i planowanych do realizacji prac nie później niż w terminie 7 dni od daty otrzymania zapyt</w:t>
      </w:r>
      <w:r w:rsidR="008E0EC1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ania, uczestnictwa w spotkaniu </w:t>
      </w:r>
      <w:r w:rsidR="0019511A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dyskusyjnym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(w szczególności zapewnienia udziału właściwych ekspertów)</w:t>
      </w:r>
      <w:r w:rsidR="002805FB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 przypadku jego organizacji przez Zamawiającego</w:t>
      </w:r>
      <w:r w:rsidR="00A9019C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4A5106" w:rsidRPr="00606D66" w:rsidRDefault="004A5106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="003F0C58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przypadku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F0C58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organizacji przez Zamawiającego spotkania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19511A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dyskusyjnego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Wykonawca jest zobowiązany do:</w:t>
      </w:r>
    </w:p>
    <w:p w:rsidR="00403C71" w:rsidRPr="00606D66" w:rsidRDefault="001A73C3" w:rsidP="00403C71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03C71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</w:t>
      </w:r>
      <w:r w:rsidR="009744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1A73C3" w:rsidRPr="00606D66" w:rsidRDefault="00403C71" w:rsidP="00403C71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uczestnictwa w spotkaniach oraz zapewnienia przedstawienia przez ekspertów w czasie spotkań wyników inwentaryzacji wraz z określonymi zagrożeniami, celami działań ochronnych i działaniami ochronnymi (m.in. w formie prezentacji)</w:t>
      </w:r>
      <w:r w:rsidR="009744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50639A" w:rsidRPr="00606D66" w:rsidRDefault="001A73C3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240CAD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 najmniej 7 dni roboczych przed spotkaniem - przedłożenia Zamawiającemu projektu prezentacji do akceptacji wraz ze wstępnymi materiałami w zakresie zagrożeń, celów działań oraz działań ochronnych proponowanych do realizacji </w:t>
      </w:r>
      <w:r w:rsidR="00F83258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</w:t>
      </w:r>
      <w:r w:rsidR="009907C6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ą</w:t>
      </w:r>
      <w:r w:rsidR="009744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A5106" w:rsidRPr="00606D66" w:rsidRDefault="004A5106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2F0358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="001A73C3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porządzenia protokołu ze spotkania, zestawienia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uwag i wniosków wraz </w:t>
      </w:r>
      <w:r w:rsidR="00D3704E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</w:t>
      </w:r>
      <w:r w:rsidR="001A73C3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niem się do nich oraz załączenia ich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dokumentacji</w:t>
      </w:r>
      <w:r w:rsidR="009744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03C71" w:rsidRPr="00606D66" w:rsidRDefault="004641C5" w:rsidP="00403C71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zastrzega sobie prawo </w:t>
      </w:r>
      <w:r w:rsidR="008B1D81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kontroli sposobu realizacji prac objętych umową, </w:t>
      </w:r>
      <w:r w:rsidR="0014528B"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prac terenowych oraz do przekazywania uwag i wniosków na każdym etapie w trakcie realizacji zadania.</w:t>
      </w:r>
    </w:p>
    <w:p w:rsidR="004641C5" w:rsidRPr="009715C7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Termin realizacji zamówienia </w:t>
      </w: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(sporządzenia dokumentacj</w:t>
      </w:r>
      <w:r w:rsidR="00E24789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i):</w:t>
      </w: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11E1A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6</w:t>
      </w:r>
      <w:r w:rsidR="001F234E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11E1A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listopada</w:t>
      </w:r>
      <w:r w:rsidR="003B646E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2020</w:t>
      </w:r>
      <w:r w:rsidR="001F234E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4641C5" w:rsidRPr="009715C7" w:rsidRDefault="004641C5" w:rsidP="00D2636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9715C7" w:rsidRDefault="00E43AD7" w:rsidP="00D26369">
      <w:pPr>
        <w:numPr>
          <w:ilvl w:val="0"/>
          <w:numId w:val="32"/>
        </w:numPr>
        <w:jc w:val="both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ciągu 14 dni od podpisania umowy Wykonawca przedstawi </w:t>
      </w:r>
      <w:r w:rsidR="006A36FD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amawiającemu </w:t>
      </w:r>
      <w:r w:rsidRPr="009715C7">
        <w:rPr>
          <w:rFonts w:ascii="Times New Roman" w:hAnsi="Times New Roman" w:cs="Times New Roman"/>
          <w:kern w:val="0"/>
          <w:sz w:val="24"/>
          <w:szCs w:val="24"/>
          <w:lang w:eastAsia="ar-SA"/>
        </w:rPr>
        <w:t>harmonogram badań terenowych objętych przedmiotem zamówienia</w:t>
      </w:r>
      <w:r w:rsidR="001F234E" w:rsidRPr="009715C7">
        <w:rPr>
          <w:rFonts w:ascii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AC5A31" w:rsidRPr="009715C7" w:rsidRDefault="00E43AD7" w:rsidP="00D26369">
      <w:pPr>
        <w:pStyle w:val="Akapitzlist"/>
        <w:numPr>
          <w:ilvl w:val="0"/>
          <w:numId w:val="32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15C7">
        <w:rPr>
          <w:rFonts w:ascii="Times New Roman" w:hAnsi="Times New Roman"/>
          <w:kern w:val="0"/>
          <w:sz w:val="24"/>
          <w:szCs w:val="24"/>
          <w:lang w:eastAsia="ar-SA"/>
        </w:rPr>
        <w:t>Wykonawca przedłoży projekt dokumentacji ostatecznej w wersji elektronicznej i papierowej – w jednym egzemplarzu do dnia</w:t>
      </w:r>
      <w:r w:rsidRPr="009715C7">
        <w:rPr>
          <w:rFonts w:ascii="Times New Roman" w:hAnsi="Times New Roman"/>
          <w:sz w:val="24"/>
          <w:szCs w:val="24"/>
        </w:rPr>
        <w:t xml:space="preserve"> </w:t>
      </w:r>
      <w:r w:rsidR="006A7FD8" w:rsidRPr="009715C7">
        <w:rPr>
          <w:rFonts w:ascii="Times New Roman" w:hAnsi="Times New Roman"/>
          <w:sz w:val="24"/>
          <w:szCs w:val="24"/>
        </w:rPr>
        <w:t>28</w:t>
      </w:r>
      <w:r w:rsidR="00AC5A31" w:rsidRPr="009715C7">
        <w:rPr>
          <w:rFonts w:ascii="Times New Roman" w:hAnsi="Times New Roman"/>
          <w:sz w:val="24"/>
          <w:szCs w:val="24"/>
        </w:rPr>
        <w:t xml:space="preserve"> </w:t>
      </w:r>
      <w:r w:rsidR="006A7FD8" w:rsidRPr="009715C7">
        <w:rPr>
          <w:rFonts w:ascii="Times New Roman" w:hAnsi="Times New Roman"/>
          <w:sz w:val="24"/>
          <w:szCs w:val="24"/>
        </w:rPr>
        <w:t>sierpnia</w:t>
      </w:r>
      <w:r w:rsidR="003B646E" w:rsidRPr="009715C7">
        <w:rPr>
          <w:rFonts w:ascii="Times New Roman" w:hAnsi="Times New Roman"/>
          <w:sz w:val="24"/>
          <w:szCs w:val="24"/>
        </w:rPr>
        <w:t xml:space="preserve"> 2020</w:t>
      </w:r>
      <w:r w:rsidR="00AC5A31" w:rsidRPr="009715C7">
        <w:rPr>
          <w:rFonts w:ascii="Times New Roman" w:hAnsi="Times New Roman"/>
          <w:sz w:val="24"/>
          <w:szCs w:val="24"/>
        </w:rPr>
        <w:t xml:space="preserve"> r.</w:t>
      </w:r>
    </w:p>
    <w:p w:rsidR="006E5BA1" w:rsidRPr="009715C7" w:rsidRDefault="00133D2A" w:rsidP="00FD575B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przedstawi uwagi do otrzymanej dokumentacji – w ciągu 1</w:t>
      </w:r>
      <w:r w:rsidR="00FD575B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4</w:t>
      </w: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dni od dnia jej otrzymania</w:t>
      </w:r>
      <w:r w:rsidR="006E5BA1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FD575B" w:rsidRPr="009715C7" w:rsidRDefault="00E43AD7" w:rsidP="00FD575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15C7">
        <w:rPr>
          <w:rFonts w:ascii="Times New Roman" w:hAnsi="Times New Roman"/>
          <w:kern w:val="0"/>
          <w:sz w:val="24"/>
          <w:szCs w:val="24"/>
          <w:lang w:eastAsia="ar-SA"/>
        </w:rPr>
        <w:t>Wykonawca ustosunkuje się do uwag Zamawiającego i dostarczy poprawioną dokumentację w ciągu 7 dni od dnia otrzymania uwag</w:t>
      </w:r>
      <w:r w:rsidR="00FD575B" w:rsidRPr="009715C7">
        <w:rPr>
          <w:rFonts w:ascii="Times New Roman" w:hAnsi="Times New Roman"/>
          <w:sz w:val="24"/>
          <w:szCs w:val="24"/>
        </w:rPr>
        <w:t>.</w:t>
      </w:r>
    </w:p>
    <w:p w:rsidR="00E43AD7" w:rsidRPr="009715C7" w:rsidRDefault="00E43AD7" w:rsidP="00E2478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6C0963">
        <w:rPr>
          <w:rFonts w:ascii="Times New Roman" w:hAnsi="Times New Roman"/>
          <w:sz w:val="24"/>
          <w:szCs w:val="24"/>
        </w:rPr>
        <w:t xml:space="preserve">ponownego zgłoszenia uwag do dokumentacji i/lub </w:t>
      </w:r>
      <w:r w:rsidRPr="009715C7">
        <w:rPr>
          <w:rFonts w:ascii="Times New Roman" w:hAnsi="Times New Roman"/>
          <w:sz w:val="24"/>
          <w:szCs w:val="24"/>
        </w:rPr>
        <w:t>organizacji spotkania dyskusyjnego,</w:t>
      </w:r>
      <w:r w:rsidR="006C0963">
        <w:rPr>
          <w:rFonts w:ascii="Times New Roman" w:hAnsi="Times New Roman"/>
          <w:sz w:val="24"/>
          <w:szCs w:val="24"/>
        </w:rPr>
        <w:t xml:space="preserve"> </w:t>
      </w:r>
      <w:r w:rsidRPr="009715C7">
        <w:rPr>
          <w:rFonts w:ascii="Times New Roman" w:hAnsi="Times New Roman"/>
          <w:sz w:val="24"/>
          <w:szCs w:val="24"/>
        </w:rPr>
        <w:t xml:space="preserve">w październiku 2020 r., na którym zostaną omówione przez Wykonawcę zapisy dokumentacji oraz uwagi Zamawiającego, w szczególności przy obecności </w:t>
      </w:r>
      <w:r w:rsidRPr="009715C7">
        <w:rPr>
          <w:rFonts w:ascii="Times New Roman" w:hAnsi="Times New Roman"/>
          <w:kern w:val="0"/>
          <w:sz w:val="24"/>
          <w:szCs w:val="24"/>
          <w:lang w:eastAsia="ar-SA"/>
        </w:rPr>
        <w:t>ekspertów wykonujących badania terenowe oraz</w:t>
      </w:r>
      <w:r w:rsidRPr="009715C7">
        <w:rPr>
          <w:rFonts w:ascii="Times New Roman" w:hAnsi="Times New Roman"/>
          <w:sz w:val="24"/>
          <w:szCs w:val="24"/>
        </w:rPr>
        <w:t xml:space="preserve"> osób i podmiotów</w:t>
      </w:r>
      <w:r w:rsidR="00974485">
        <w:rPr>
          <w:rFonts w:ascii="Times New Roman" w:hAnsi="Times New Roman"/>
          <w:sz w:val="24"/>
          <w:szCs w:val="24"/>
        </w:rPr>
        <w:t>,</w:t>
      </w:r>
      <w:r w:rsidRPr="009715C7">
        <w:rPr>
          <w:rFonts w:ascii="Times New Roman" w:hAnsi="Times New Roman"/>
          <w:sz w:val="24"/>
          <w:szCs w:val="24"/>
        </w:rPr>
        <w:t xml:space="preserve"> których zapisy będą dotyczyć.</w:t>
      </w:r>
    </w:p>
    <w:p w:rsidR="00BA6E68" w:rsidRPr="009715C7" w:rsidRDefault="00E43AD7" w:rsidP="00E43AD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Wykonawca ustosunkuje się do uwag Zamawiającego oraz ustaleń na ewentualnym spotkaniu dyskusyjnym  i dostarczy dokumentację ostateczną do dnia</w:t>
      </w:r>
      <w:r w:rsidRPr="009715C7">
        <w:rPr>
          <w:rFonts w:ascii="Times New Roman" w:hAnsi="Times New Roman"/>
          <w:sz w:val="24"/>
          <w:szCs w:val="24"/>
        </w:rPr>
        <w:t xml:space="preserve"> </w:t>
      </w:r>
      <w:r w:rsidR="00FD575B" w:rsidRPr="009715C7">
        <w:rPr>
          <w:rFonts w:ascii="Times New Roman" w:hAnsi="Times New Roman"/>
          <w:sz w:val="24"/>
          <w:szCs w:val="24"/>
        </w:rPr>
        <w:t>6</w:t>
      </w:r>
      <w:r w:rsidR="00E24789" w:rsidRPr="009715C7">
        <w:rPr>
          <w:rFonts w:ascii="Times New Roman" w:hAnsi="Times New Roman"/>
          <w:sz w:val="24"/>
          <w:szCs w:val="24"/>
        </w:rPr>
        <w:t xml:space="preserve"> </w:t>
      </w:r>
      <w:r w:rsidR="00FD575B" w:rsidRPr="009715C7">
        <w:rPr>
          <w:rFonts w:ascii="Times New Roman" w:hAnsi="Times New Roman"/>
          <w:sz w:val="24"/>
          <w:szCs w:val="24"/>
        </w:rPr>
        <w:t>listopada</w:t>
      </w:r>
      <w:r w:rsidR="003B646E" w:rsidRPr="009715C7">
        <w:rPr>
          <w:rFonts w:ascii="Times New Roman" w:hAnsi="Times New Roman"/>
          <w:sz w:val="24"/>
          <w:szCs w:val="24"/>
        </w:rPr>
        <w:t xml:space="preserve"> 2020</w:t>
      </w:r>
      <w:r w:rsidR="003244BF" w:rsidRPr="009715C7">
        <w:rPr>
          <w:rFonts w:ascii="Times New Roman" w:hAnsi="Times New Roman"/>
          <w:sz w:val="24"/>
          <w:szCs w:val="24"/>
        </w:rPr>
        <w:t xml:space="preserve"> r.</w:t>
      </w:r>
    </w:p>
    <w:p w:rsidR="004641C5" w:rsidRPr="009715C7" w:rsidRDefault="00911181" w:rsidP="00D2636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hAnsi="Times New Roman"/>
          <w:sz w:val="24"/>
          <w:szCs w:val="24"/>
        </w:rPr>
        <w:t>Odbiór prac nastąpi do 7 dni od daty otrzymania kompletnej dokumentacji</w:t>
      </w:r>
      <w:r w:rsidR="004641C5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9715C7" w:rsidRDefault="004641C5" w:rsidP="00D26369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BF3AB0" w:rsidRPr="009715C7" w:rsidRDefault="00BF3AB0" w:rsidP="00A20005">
      <w:pPr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udostępnia dokumentację do planu zadań ochronnych dla obszaru Natura 2000 Doliny Brdy i Stążki w Borach Tucholskich PLH040023 pod linkiem: </w:t>
      </w:r>
    </w:p>
    <w:p w:rsidR="004641C5" w:rsidRPr="009715C7" w:rsidRDefault="00BF3AB0" w:rsidP="00BF3AB0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15C7">
        <w:rPr>
          <w:rFonts w:ascii="Times New Roman" w:hAnsi="Times New Roman"/>
          <w:sz w:val="24"/>
          <w:szCs w:val="24"/>
        </w:rPr>
        <w:t>http://public.rdos-bydgoszcz.pl/download/pzo_dbiswbt.zip</w:t>
      </w:r>
      <w:r w:rsidR="005347E8" w:rsidRPr="009715C7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9715C7" w:rsidRDefault="004641C5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9715C7" w:rsidRDefault="004641C5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9715C7" w:rsidRDefault="004641C5" w:rsidP="00D26369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2D4DC2" w:rsidRPr="009715C7" w:rsidRDefault="002D4DC2" w:rsidP="002D4DC2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bookmarkStart w:id="6" w:name="_Hlk5176681"/>
      <w:r w:rsidRPr="009715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do opisu przedmiotu zamówienia: </w:t>
      </w:r>
    </w:p>
    <w:p w:rsidR="002D4DC2" w:rsidRPr="009715C7" w:rsidRDefault="002D4DC2" w:rsidP="002D4DC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FB2B0A" w:rsidRPr="009715C7" w:rsidRDefault="002D4DC2" w:rsidP="006A36FD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715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Załącznik nr 1 – Szablon dokumentacji dot. uzupełnienia stanu wiedzy o przedmiotach ochrony w obszarze Natura 2000 </w:t>
      </w:r>
      <w:r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Doliny Brdy i Stążki w Borach Tucholskich PLH040023</w:t>
      </w:r>
      <w:r w:rsidR="00BF3AB0" w:rsidRPr="009715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zwierzęta.</w:t>
      </w:r>
      <w:bookmarkEnd w:id="6"/>
    </w:p>
    <w:sectPr w:rsidR="00FB2B0A" w:rsidRPr="009715C7" w:rsidSect="002F1E6F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56" w:rsidRDefault="008B6856">
      <w:pPr>
        <w:spacing w:line="240" w:lineRule="auto"/>
      </w:pPr>
      <w:r>
        <w:separator/>
      </w:r>
    </w:p>
  </w:endnote>
  <w:endnote w:type="continuationSeparator" w:id="0">
    <w:p w:rsidR="008B6856" w:rsidRDefault="008B6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56" w:rsidRDefault="008B68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B6856" w:rsidRDefault="008B6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DA801FB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5AE2B7A"/>
    <w:multiLevelType w:val="hybridMultilevel"/>
    <w:tmpl w:val="2DE61E58"/>
    <w:lvl w:ilvl="0" w:tplc="51EAF2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6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3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5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6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7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2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5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6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44"/>
  </w:num>
  <w:num w:numId="5">
    <w:abstractNumId w:val="33"/>
  </w:num>
  <w:num w:numId="6">
    <w:abstractNumId w:val="42"/>
  </w:num>
  <w:num w:numId="7">
    <w:abstractNumId w:val="32"/>
  </w:num>
  <w:num w:numId="8">
    <w:abstractNumId w:val="17"/>
  </w:num>
  <w:num w:numId="9">
    <w:abstractNumId w:val="34"/>
  </w:num>
  <w:num w:numId="10">
    <w:abstractNumId w:val="39"/>
  </w:num>
  <w:num w:numId="11">
    <w:abstractNumId w:val="37"/>
  </w:num>
  <w:num w:numId="12">
    <w:abstractNumId w:val="18"/>
  </w:num>
  <w:num w:numId="13">
    <w:abstractNumId w:val="35"/>
  </w:num>
  <w:num w:numId="14">
    <w:abstractNumId w:val="45"/>
  </w:num>
  <w:num w:numId="15">
    <w:abstractNumId w:val="25"/>
  </w:num>
  <w:num w:numId="16">
    <w:abstractNumId w:val="30"/>
  </w:num>
  <w:num w:numId="17">
    <w:abstractNumId w:val="40"/>
  </w:num>
  <w:num w:numId="18">
    <w:abstractNumId w:val="28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46"/>
  </w:num>
  <w:num w:numId="24">
    <w:abstractNumId w:val="22"/>
  </w:num>
  <w:num w:numId="25">
    <w:abstractNumId w:val="26"/>
  </w:num>
  <w:num w:numId="26">
    <w:abstractNumId w:val="4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3"/>
  </w:num>
  <w:num w:numId="45">
    <w:abstractNumId w:val="21"/>
  </w:num>
  <w:num w:numId="46">
    <w:abstractNumId w:val="43"/>
  </w:num>
  <w:num w:numId="47">
    <w:abstractNumId w:val="31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D"/>
    <w:rsid w:val="000222E2"/>
    <w:rsid w:val="00027A1B"/>
    <w:rsid w:val="0003699E"/>
    <w:rsid w:val="00040FA8"/>
    <w:rsid w:val="0005145E"/>
    <w:rsid w:val="00051A5D"/>
    <w:rsid w:val="00057BD4"/>
    <w:rsid w:val="00072353"/>
    <w:rsid w:val="0008360A"/>
    <w:rsid w:val="00092610"/>
    <w:rsid w:val="000942DA"/>
    <w:rsid w:val="000949C1"/>
    <w:rsid w:val="000C6D1E"/>
    <w:rsid w:val="000D54A0"/>
    <w:rsid w:val="000E1778"/>
    <w:rsid w:val="000E42FD"/>
    <w:rsid w:val="000E7260"/>
    <w:rsid w:val="000F1058"/>
    <w:rsid w:val="000F4E82"/>
    <w:rsid w:val="00122BC8"/>
    <w:rsid w:val="00133D2A"/>
    <w:rsid w:val="0014528B"/>
    <w:rsid w:val="001453D1"/>
    <w:rsid w:val="0014692F"/>
    <w:rsid w:val="0016119F"/>
    <w:rsid w:val="00162354"/>
    <w:rsid w:val="00181030"/>
    <w:rsid w:val="001841E4"/>
    <w:rsid w:val="00184BDF"/>
    <w:rsid w:val="0019511A"/>
    <w:rsid w:val="001A73C3"/>
    <w:rsid w:val="001B7B98"/>
    <w:rsid w:val="001C7200"/>
    <w:rsid w:val="001D5B79"/>
    <w:rsid w:val="001E4042"/>
    <w:rsid w:val="001E7A6A"/>
    <w:rsid w:val="001F234E"/>
    <w:rsid w:val="002213E0"/>
    <w:rsid w:val="002238FD"/>
    <w:rsid w:val="00224B1A"/>
    <w:rsid w:val="00224E8F"/>
    <w:rsid w:val="0023067C"/>
    <w:rsid w:val="00240CAD"/>
    <w:rsid w:val="00264922"/>
    <w:rsid w:val="002734EF"/>
    <w:rsid w:val="002805FB"/>
    <w:rsid w:val="00282F97"/>
    <w:rsid w:val="00284F86"/>
    <w:rsid w:val="002954A4"/>
    <w:rsid w:val="002C1AC2"/>
    <w:rsid w:val="002D4DC2"/>
    <w:rsid w:val="002F0358"/>
    <w:rsid w:val="002F1E6F"/>
    <w:rsid w:val="00304333"/>
    <w:rsid w:val="00316F16"/>
    <w:rsid w:val="00321FF9"/>
    <w:rsid w:val="00322906"/>
    <w:rsid w:val="003244BF"/>
    <w:rsid w:val="003606A0"/>
    <w:rsid w:val="00367929"/>
    <w:rsid w:val="0037670B"/>
    <w:rsid w:val="00395595"/>
    <w:rsid w:val="003A1227"/>
    <w:rsid w:val="003A4D27"/>
    <w:rsid w:val="003B0104"/>
    <w:rsid w:val="003B02F9"/>
    <w:rsid w:val="003B102E"/>
    <w:rsid w:val="003B646E"/>
    <w:rsid w:val="003C607B"/>
    <w:rsid w:val="003D12DA"/>
    <w:rsid w:val="003D2ECD"/>
    <w:rsid w:val="003D5513"/>
    <w:rsid w:val="003E4F75"/>
    <w:rsid w:val="003F0C58"/>
    <w:rsid w:val="00403C71"/>
    <w:rsid w:val="00442829"/>
    <w:rsid w:val="00444AE1"/>
    <w:rsid w:val="00446B9D"/>
    <w:rsid w:val="00461602"/>
    <w:rsid w:val="00462FEB"/>
    <w:rsid w:val="004641C5"/>
    <w:rsid w:val="00471770"/>
    <w:rsid w:val="00473E55"/>
    <w:rsid w:val="00485A05"/>
    <w:rsid w:val="004A5106"/>
    <w:rsid w:val="004B5E7F"/>
    <w:rsid w:val="004D46C3"/>
    <w:rsid w:val="004E5B2C"/>
    <w:rsid w:val="004F2DE1"/>
    <w:rsid w:val="0050639A"/>
    <w:rsid w:val="005175F7"/>
    <w:rsid w:val="00525602"/>
    <w:rsid w:val="005347E8"/>
    <w:rsid w:val="0055447C"/>
    <w:rsid w:val="00554635"/>
    <w:rsid w:val="00596DC9"/>
    <w:rsid w:val="005C510F"/>
    <w:rsid w:val="005C5806"/>
    <w:rsid w:val="005D4671"/>
    <w:rsid w:val="005D5DB3"/>
    <w:rsid w:val="005E07F6"/>
    <w:rsid w:val="005E2D83"/>
    <w:rsid w:val="00600309"/>
    <w:rsid w:val="00606D66"/>
    <w:rsid w:val="006106B7"/>
    <w:rsid w:val="00623AEE"/>
    <w:rsid w:val="0062658C"/>
    <w:rsid w:val="0063452F"/>
    <w:rsid w:val="006466DC"/>
    <w:rsid w:val="00647C1D"/>
    <w:rsid w:val="00664122"/>
    <w:rsid w:val="0067140C"/>
    <w:rsid w:val="00671C48"/>
    <w:rsid w:val="00675D44"/>
    <w:rsid w:val="00681D92"/>
    <w:rsid w:val="006A36FD"/>
    <w:rsid w:val="006A7FD8"/>
    <w:rsid w:val="006B1336"/>
    <w:rsid w:val="006B3CC2"/>
    <w:rsid w:val="006C0963"/>
    <w:rsid w:val="006E5A21"/>
    <w:rsid w:val="006E5BA1"/>
    <w:rsid w:val="00703E68"/>
    <w:rsid w:val="00721994"/>
    <w:rsid w:val="0073381C"/>
    <w:rsid w:val="0073580B"/>
    <w:rsid w:val="0075417C"/>
    <w:rsid w:val="00763A5B"/>
    <w:rsid w:val="00776727"/>
    <w:rsid w:val="00781E01"/>
    <w:rsid w:val="00782B2B"/>
    <w:rsid w:val="007A6B30"/>
    <w:rsid w:val="00802F49"/>
    <w:rsid w:val="00810304"/>
    <w:rsid w:val="008179CF"/>
    <w:rsid w:val="0082305A"/>
    <w:rsid w:val="008266E1"/>
    <w:rsid w:val="00827E59"/>
    <w:rsid w:val="0083688F"/>
    <w:rsid w:val="00847D0D"/>
    <w:rsid w:val="00853924"/>
    <w:rsid w:val="00862277"/>
    <w:rsid w:val="00881823"/>
    <w:rsid w:val="008A65F2"/>
    <w:rsid w:val="008B1A7D"/>
    <w:rsid w:val="008B1D81"/>
    <w:rsid w:val="008B67E9"/>
    <w:rsid w:val="008B680A"/>
    <w:rsid w:val="008B6856"/>
    <w:rsid w:val="008C07AF"/>
    <w:rsid w:val="008D554B"/>
    <w:rsid w:val="008E0EC1"/>
    <w:rsid w:val="00911181"/>
    <w:rsid w:val="00911E1A"/>
    <w:rsid w:val="00925A92"/>
    <w:rsid w:val="009325F7"/>
    <w:rsid w:val="0093680B"/>
    <w:rsid w:val="009467F3"/>
    <w:rsid w:val="0096426A"/>
    <w:rsid w:val="0096681F"/>
    <w:rsid w:val="00970980"/>
    <w:rsid w:val="009715C7"/>
    <w:rsid w:val="00974485"/>
    <w:rsid w:val="0097766F"/>
    <w:rsid w:val="009907C6"/>
    <w:rsid w:val="00995F10"/>
    <w:rsid w:val="009A36B0"/>
    <w:rsid w:val="009A4C33"/>
    <w:rsid w:val="009A69C7"/>
    <w:rsid w:val="009B1116"/>
    <w:rsid w:val="009B2BCD"/>
    <w:rsid w:val="009B5C82"/>
    <w:rsid w:val="009B5CE0"/>
    <w:rsid w:val="009D18C6"/>
    <w:rsid w:val="009F6077"/>
    <w:rsid w:val="00A20005"/>
    <w:rsid w:val="00A30958"/>
    <w:rsid w:val="00A50AF3"/>
    <w:rsid w:val="00A5104B"/>
    <w:rsid w:val="00A63F4E"/>
    <w:rsid w:val="00A84C62"/>
    <w:rsid w:val="00A86EC7"/>
    <w:rsid w:val="00A9019C"/>
    <w:rsid w:val="00A91043"/>
    <w:rsid w:val="00A9295E"/>
    <w:rsid w:val="00A96E93"/>
    <w:rsid w:val="00AA56F1"/>
    <w:rsid w:val="00AA6B74"/>
    <w:rsid w:val="00AB0D88"/>
    <w:rsid w:val="00AB28C2"/>
    <w:rsid w:val="00AC2924"/>
    <w:rsid w:val="00AC5A31"/>
    <w:rsid w:val="00AD42AB"/>
    <w:rsid w:val="00AE61EB"/>
    <w:rsid w:val="00AF6295"/>
    <w:rsid w:val="00B07FB1"/>
    <w:rsid w:val="00B11B5A"/>
    <w:rsid w:val="00B16B91"/>
    <w:rsid w:val="00B35FA2"/>
    <w:rsid w:val="00B37C75"/>
    <w:rsid w:val="00B47C72"/>
    <w:rsid w:val="00B54E10"/>
    <w:rsid w:val="00B75758"/>
    <w:rsid w:val="00B946E0"/>
    <w:rsid w:val="00B9522E"/>
    <w:rsid w:val="00B97101"/>
    <w:rsid w:val="00BA6E68"/>
    <w:rsid w:val="00BB436F"/>
    <w:rsid w:val="00BC465D"/>
    <w:rsid w:val="00BD3151"/>
    <w:rsid w:val="00BE20CD"/>
    <w:rsid w:val="00BF3AB0"/>
    <w:rsid w:val="00BF768F"/>
    <w:rsid w:val="00C073BC"/>
    <w:rsid w:val="00C21732"/>
    <w:rsid w:val="00C26D9B"/>
    <w:rsid w:val="00C315CF"/>
    <w:rsid w:val="00C34352"/>
    <w:rsid w:val="00C61266"/>
    <w:rsid w:val="00C64999"/>
    <w:rsid w:val="00C66A08"/>
    <w:rsid w:val="00C71A83"/>
    <w:rsid w:val="00C77BD5"/>
    <w:rsid w:val="00C86DF8"/>
    <w:rsid w:val="00C916E3"/>
    <w:rsid w:val="00C956B4"/>
    <w:rsid w:val="00CA07D7"/>
    <w:rsid w:val="00CA7E6D"/>
    <w:rsid w:val="00CB7AFD"/>
    <w:rsid w:val="00CC5865"/>
    <w:rsid w:val="00CC5AD0"/>
    <w:rsid w:val="00CD0EBC"/>
    <w:rsid w:val="00CE7C41"/>
    <w:rsid w:val="00CF6F8C"/>
    <w:rsid w:val="00D0223C"/>
    <w:rsid w:val="00D02B08"/>
    <w:rsid w:val="00D26369"/>
    <w:rsid w:val="00D30172"/>
    <w:rsid w:val="00D30638"/>
    <w:rsid w:val="00D3704E"/>
    <w:rsid w:val="00D43A13"/>
    <w:rsid w:val="00D51EC7"/>
    <w:rsid w:val="00D54797"/>
    <w:rsid w:val="00D71D38"/>
    <w:rsid w:val="00D71F0B"/>
    <w:rsid w:val="00D77142"/>
    <w:rsid w:val="00DC4944"/>
    <w:rsid w:val="00DF0D20"/>
    <w:rsid w:val="00E040F5"/>
    <w:rsid w:val="00E06D32"/>
    <w:rsid w:val="00E12B4D"/>
    <w:rsid w:val="00E20B56"/>
    <w:rsid w:val="00E24789"/>
    <w:rsid w:val="00E426DD"/>
    <w:rsid w:val="00E43AD7"/>
    <w:rsid w:val="00E47116"/>
    <w:rsid w:val="00E473C4"/>
    <w:rsid w:val="00E513D3"/>
    <w:rsid w:val="00E5792C"/>
    <w:rsid w:val="00E6627A"/>
    <w:rsid w:val="00E7305D"/>
    <w:rsid w:val="00E84F0F"/>
    <w:rsid w:val="00EB3ADD"/>
    <w:rsid w:val="00EB5C6E"/>
    <w:rsid w:val="00EB625A"/>
    <w:rsid w:val="00EC5FBF"/>
    <w:rsid w:val="00EE5A33"/>
    <w:rsid w:val="00EF24E4"/>
    <w:rsid w:val="00F13918"/>
    <w:rsid w:val="00F2053D"/>
    <w:rsid w:val="00F20CC1"/>
    <w:rsid w:val="00F21751"/>
    <w:rsid w:val="00F315EF"/>
    <w:rsid w:val="00F45C85"/>
    <w:rsid w:val="00F51CEA"/>
    <w:rsid w:val="00F53039"/>
    <w:rsid w:val="00F5411E"/>
    <w:rsid w:val="00F61653"/>
    <w:rsid w:val="00F73690"/>
    <w:rsid w:val="00F73C42"/>
    <w:rsid w:val="00F741BE"/>
    <w:rsid w:val="00F74748"/>
    <w:rsid w:val="00F74A32"/>
    <w:rsid w:val="00F83258"/>
    <w:rsid w:val="00F942E3"/>
    <w:rsid w:val="00FA022F"/>
    <w:rsid w:val="00FB187D"/>
    <w:rsid w:val="00FB2B0A"/>
    <w:rsid w:val="00FC316F"/>
    <w:rsid w:val="00FD2384"/>
    <w:rsid w:val="00FD575B"/>
    <w:rsid w:val="00FD661C"/>
    <w:rsid w:val="00FD748E"/>
    <w:rsid w:val="00FE1D0C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8A8D"/>
  <w15:docId w15:val="{BF8FABB1-0BEA-406D-A0A9-CF416C2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E6F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2F1E6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F1E6F"/>
    <w:pPr>
      <w:spacing w:after="120"/>
    </w:pPr>
  </w:style>
  <w:style w:type="paragraph" w:styleId="Lista">
    <w:name w:val="List"/>
    <w:basedOn w:val="Textbody"/>
    <w:rsid w:val="002F1E6F"/>
    <w:rPr>
      <w:rFonts w:cs="Lucida Sans"/>
    </w:rPr>
  </w:style>
  <w:style w:type="paragraph" w:styleId="Legenda">
    <w:name w:val="caption"/>
    <w:basedOn w:val="Standard"/>
    <w:rsid w:val="002F1E6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F1E6F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2F1E6F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2F1E6F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2F1E6F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F1E6F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F1E6F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2F1E6F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2F1E6F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2F1E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2F1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2F1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2F1E6F"/>
    <w:rPr>
      <w:color w:val="0000FF"/>
      <w:u w:val="single"/>
    </w:rPr>
  </w:style>
  <w:style w:type="character" w:customStyle="1" w:styleId="ListLabel1">
    <w:name w:val="ListLabel 1"/>
    <w:rsid w:val="002F1E6F"/>
    <w:rPr>
      <w:rFonts w:eastAsia="Calibri" w:cs="Times New Roman"/>
    </w:rPr>
  </w:style>
  <w:style w:type="character" w:customStyle="1" w:styleId="ListLabel2">
    <w:name w:val="ListLabel 2"/>
    <w:rsid w:val="002F1E6F"/>
    <w:rPr>
      <w:rFonts w:cs="Courier New"/>
    </w:rPr>
  </w:style>
  <w:style w:type="character" w:customStyle="1" w:styleId="ListLabel3">
    <w:name w:val="ListLabel 3"/>
    <w:rsid w:val="002F1E6F"/>
    <w:rPr>
      <w:color w:val="00000A"/>
    </w:rPr>
  </w:style>
  <w:style w:type="numbering" w:customStyle="1" w:styleId="WWNum1">
    <w:name w:val="WWNum1"/>
    <w:basedOn w:val="Bezlisty"/>
    <w:rsid w:val="002F1E6F"/>
    <w:pPr>
      <w:numPr>
        <w:numId w:val="1"/>
      </w:numPr>
    </w:pPr>
  </w:style>
  <w:style w:type="numbering" w:customStyle="1" w:styleId="WWNum2">
    <w:name w:val="WWNum2"/>
    <w:basedOn w:val="Bezlisty"/>
    <w:rsid w:val="002F1E6F"/>
    <w:pPr>
      <w:numPr>
        <w:numId w:val="2"/>
      </w:numPr>
    </w:pPr>
  </w:style>
  <w:style w:type="numbering" w:customStyle="1" w:styleId="WWNum3">
    <w:name w:val="WWNum3"/>
    <w:basedOn w:val="Bezlisty"/>
    <w:rsid w:val="002F1E6F"/>
    <w:pPr>
      <w:numPr>
        <w:numId w:val="3"/>
      </w:numPr>
    </w:pPr>
  </w:style>
  <w:style w:type="numbering" w:customStyle="1" w:styleId="WWNum4">
    <w:name w:val="WWNum4"/>
    <w:basedOn w:val="Bezlisty"/>
    <w:rsid w:val="002F1E6F"/>
    <w:pPr>
      <w:numPr>
        <w:numId w:val="4"/>
      </w:numPr>
    </w:pPr>
  </w:style>
  <w:style w:type="numbering" w:customStyle="1" w:styleId="WWNum5">
    <w:name w:val="WWNum5"/>
    <w:basedOn w:val="Bezlisty"/>
    <w:rsid w:val="002F1E6F"/>
    <w:pPr>
      <w:numPr>
        <w:numId w:val="5"/>
      </w:numPr>
    </w:pPr>
  </w:style>
  <w:style w:type="numbering" w:customStyle="1" w:styleId="WWNum6">
    <w:name w:val="WWNum6"/>
    <w:basedOn w:val="Bezlisty"/>
    <w:rsid w:val="002F1E6F"/>
    <w:pPr>
      <w:numPr>
        <w:numId w:val="6"/>
      </w:numPr>
    </w:pPr>
  </w:style>
  <w:style w:type="numbering" w:customStyle="1" w:styleId="WWNum7">
    <w:name w:val="WWNum7"/>
    <w:basedOn w:val="Bezlisty"/>
    <w:rsid w:val="002F1E6F"/>
    <w:pPr>
      <w:numPr>
        <w:numId w:val="7"/>
      </w:numPr>
    </w:pPr>
  </w:style>
  <w:style w:type="numbering" w:customStyle="1" w:styleId="WWNum8">
    <w:name w:val="WWNum8"/>
    <w:basedOn w:val="Bezlisty"/>
    <w:rsid w:val="002F1E6F"/>
    <w:pPr>
      <w:numPr>
        <w:numId w:val="8"/>
      </w:numPr>
    </w:pPr>
  </w:style>
  <w:style w:type="numbering" w:customStyle="1" w:styleId="WWNum9">
    <w:name w:val="WWNum9"/>
    <w:basedOn w:val="Bezlisty"/>
    <w:rsid w:val="002F1E6F"/>
    <w:pPr>
      <w:numPr>
        <w:numId w:val="9"/>
      </w:numPr>
    </w:pPr>
  </w:style>
  <w:style w:type="numbering" w:customStyle="1" w:styleId="WWNum10">
    <w:name w:val="WWNum10"/>
    <w:basedOn w:val="Bezlisty"/>
    <w:rsid w:val="002F1E6F"/>
    <w:pPr>
      <w:numPr>
        <w:numId w:val="10"/>
      </w:numPr>
    </w:pPr>
  </w:style>
  <w:style w:type="numbering" w:customStyle="1" w:styleId="WWNum11">
    <w:name w:val="WWNum11"/>
    <w:basedOn w:val="Bezlisty"/>
    <w:rsid w:val="002F1E6F"/>
    <w:pPr>
      <w:numPr>
        <w:numId w:val="11"/>
      </w:numPr>
    </w:pPr>
  </w:style>
  <w:style w:type="numbering" w:customStyle="1" w:styleId="WWNum12">
    <w:name w:val="WWNum12"/>
    <w:basedOn w:val="Bezlisty"/>
    <w:rsid w:val="002F1E6F"/>
    <w:pPr>
      <w:numPr>
        <w:numId w:val="12"/>
      </w:numPr>
    </w:pPr>
  </w:style>
  <w:style w:type="numbering" w:customStyle="1" w:styleId="WWNum13">
    <w:name w:val="WWNum13"/>
    <w:basedOn w:val="Bezlisty"/>
    <w:rsid w:val="002F1E6F"/>
    <w:pPr>
      <w:numPr>
        <w:numId w:val="13"/>
      </w:numPr>
    </w:pPr>
  </w:style>
  <w:style w:type="numbering" w:customStyle="1" w:styleId="WWNum14">
    <w:name w:val="WWNum14"/>
    <w:basedOn w:val="Bezlisty"/>
    <w:rsid w:val="002F1E6F"/>
    <w:pPr>
      <w:numPr>
        <w:numId w:val="14"/>
      </w:numPr>
    </w:pPr>
  </w:style>
  <w:style w:type="numbering" w:customStyle="1" w:styleId="WWNum15">
    <w:name w:val="WWNum15"/>
    <w:basedOn w:val="Bezlisty"/>
    <w:rsid w:val="002F1E6F"/>
    <w:pPr>
      <w:numPr>
        <w:numId w:val="15"/>
      </w:numPr>
    </w:pPr>
  </w:style>
  <w:style w:type="numbering" w:customStyle="1" w:styleId="WWNum16">
    <w:name w:val="WWNum16"/>
    <w:basedOn w:val="Bezlisty"/>
    <w:rsid w:val="002F1E6F"/>
    <w:pPr>
      <w:numPr>
        <w:numId w:val="16"/>
      </w:numPr>
    </w:pPr>
  </w:style>
  <w:style w:type="numbering" w:customStyle="1" w:styleId="WWNum17">
    <w:name w:val="WWNum17"/>
    <w:basedOn w:val="Bezlisty"/>
    <w:rsid w:val="002F1E6F"/>
    <w:pPr>
      <w:numPr>
        <w:numId w:val="17"/>
      </w:numPr>
    </w:pPr>
  </w:style>
  <w:style w:type="numbering" w:customStyle="1" w:styleId="WWNum18">
    <w:name w:val="WWNum18"/>
    <w:basedOn w:val="Bezlisty"/>
    <w:rsid w:val="002F1E6F"/>
    <w:pPr>
      <w:numPr>
        <w:numId w:val="18"/>
      </w:numPr>
    </w:pPr>
  </w:style>
  <w:style w:type="numbering" w:customStyle="1" w:styleId="WWNum19">
    <w:name w:val="WWNum19"/>
    <w:basedOn w:val="Bezlisty"/>
    <w:rsid w:val="002F1E6F"/>
    <w:pPr>
      <w:numPr>
        <w:numId w:val="19"/>
      </w:numPr>
    </w:pPr>
  </w:style>
  <w:style w:type="numbering" w:customStyle="1" w:styleId="WWNum20">
    <w:name w:val="WWNum20"/>
    <w:basedOn w:val="Bezlisty"/>
    <w:rsid w:val="002F1E6F"/>
    <w:pPr>
      <w:numPr>
        <w:numId w:val="20"/>
      </w:numPr>
    </w:pPr>
  </w:style>
  <w:style w:type="numbering" w:customStyle="1" w:styleId="WWNum21">
    <w:name w:val="WWNum21"/>
    <w:basedOn w:val="Bezlisty"/>
    <w:rsid w:val="002F1E6F"/>
    <w:pPr>
      <w:numPr>
        <w:numId w:val="21"/>
      </w:numPr>
    </w:pPr>
  </w:style>
  <w:style w:type="numbering" w:customStyle="1" w:styleId="WWNum22">
    <w:name w:val="WWNum22"/>
    <w:basedOn w:val="Bezlisty"/>
    <w:rsid w:val="002F1E6F"/>
    <w:pPr>
      <w:numPr>
        <w:numId w:val="22"/>
      </w:numPr>
    </w:pPr>
  </w:style>
  <w:style w:type="numbering" w:customStyle="1" w:styleId="WWNum23">
    <w:name w:val="WWNum23"/>
    <w:basedOn w:val="Bezlisty"/>
    <w:rsid w:val="002F1E6F"/>
    <w:pPr>
      <w:numPr>
        <w:numId w:val="23"/>
      </w:numPr>
    </w:pPr>
  </w:style>
  <w:style w:type="numbering" w:customStyle="1" w:styleId="WWNum24">
    <w:name w:val="WWNum24"/>
    <w:basedOn w:val="Bezlisty"/>
    <w:rsid w:val="002F1E6F"/>
    <w:pPr>
      <w:numPr>
        <w:numId w:val="24"/>
      </w:numPr>
    </w:pPr>
  </w:style>
  <w:style w:type="numbering" w:customStyle="1" w:styleId="WWNum25">
    <w:name w:val="WWNum25"/>
    <w:basedOn w:val="Bezlisty"/>
    <w:rsid w:val="002F1E6F"/>
    <w:pPr>
      <w:numPr>
        <w:numId w:val="25"/>
      </w:numPr>
    </w:pPr>
  </w:style>
  <w:style w:type="numbering" w:customStyle="1" w:styleId="WWNum26">
    <w:name w:val="WWNum26"/>
    <w:basedOn w:val="Bezlisty"/>
    <w:rsid w:val="002F1E6F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BD3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FC61-FB2C-486B-9C13-A5BBDA20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34</cp:revision>
  <cp:lastPrinted>2019-04-09T11:43:00Z</cp:lastPrinted>
  <dcterms:created xsi:type="dcterms:W3CDTF">2019-04-01T10:34:00Z</dcterms:created>
  <dcterms:modified xsi:type="dcterms:W3CDTF">2019-04-15T11:11:00Z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