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CC" w:rsidRPr="00C702CC" w:rsidRDefault="00C702CC" w:rsidP="00C702CC">
      <w:pPr>
        <w:jc w:val="right"/>
        <w:rPr>
          <w:rFonts w:ascii="Times New Roman" w:hAnsi="Times New Roman" w:cs="Times New Roman"/>
          <w:b/>
        </w:rPr>
      </w:pPr>
      <w:r w:rsidRPr="00C702CC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8</w:t>
      </w:r>
      <w:r w:rsidRPr="00C702CC">
        <w:rPr>
          <w:rFonts w:ascii="Times New Roman" w:hAnsi="Times New Roman" w:cs="Times New Roman"/>
          <w:b/>
        </w:rPr>
        <w:t xml:space="preserve"> do SIWZ</w:t>
      </w:r>
    </w:p>
    <w:p w:rsidR="00C702CC" w:rsidRDefault="00C702CC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C6979" w:rsidRPr="00C702CC" w:rsidRDefault="006C6979" w:rsidP="00C702C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C702CC">
        <w:rPr>
          <w:rFonts w:ascii="Times New Roman" w:hAnsi="Times New Roman"/>
          <w:b/>
          <w:sz w:val="24"/>
        </w:rPr>
        <w:t>Zasady promocji i stosowania logotypów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1) Wszelka korespondencja, w tym korespondencja elektroniczna i papierowa, umowy zawarte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 xml:space="preserve">z podwykonawcami na realizację przedmiotu umowy, ogłoszenia, raporty zawierające wyniki prac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terenowych, szablon dokumentacji, oraz ewen</w:t>
      </w:r>
      <w:bookmarkStart w:id="0" w:name="_GoBack"/>
      <w:bookmarkEnd w:id="0"/>
      <w:r w:rsidRPr="006C6979">
        <w:rPr>
          <w:rFonts w:ascii="Times New Roman" w:hAnsi="Times New Roman"/>
        </w:rPr>
        <w:t>tualne prezentacje w programie Power Point, itp., należy oznaczać czterema znakami: Programu Operacyjnego Infrastruktura i Środowisko, Generalnej Dyrekcji Ochrony Środowiska, Regionalnej Dyrekcji Ochrony Środowiska w Bydgoszczy, Unii Europejskiej: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3422E693" wp14:editId="39F47696">
            <wp:extent cx="5760720" cy="568822"/>
            <wp:effectExtent l="0" t="0" r="0" b="3175"/>
            <wp:docPr id="8" name="Obraz 8" descr="C:\Users\amroz\AppData\Local\Temp\7zO48A0C0BC\FE-POIŚ+GDOŚ+RDOŚ_Bydgoszcz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oz\AppData\Local\Temp\7zO48A0C0BC\FE-POIŚ+GDOŚ+RDOŚ_Bydgoszcz+UE-FS poziom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72762285" wp14:editId="391733D7">
            <wp:extent cx="5760720" cy="568822"/>
            <wp:effectExtent l="0" t="0" r="0" b="3175"/>
            <wp:docPr id="12" name="Obraz 12" descr="C:\Users\amroz\AppData\Local\Temp\7zO48A8F90D\FE-POIŚ+GDOŚ+RDOŚ_Bydgoszcz+UE-FS szarosc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roz\AppData\Local\Temp\7zO48A8F90D\FE-POIŚ+GDOŚ+RDOŚ_Bydgoszcz+UE-FS szarosc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4A2C8BC2" wp14:editId="29FA6459">
            <wp:extent cx="5760720" cy="568325"/>
            <wp:effectExtent l="0" t="0" r="0" b="3175"/>
            <wp:docPr id="13" name="Obraz 13" descr="C:\Users\amroz\AppData\Local\Temp\7zO48AD60BB\FE-POIŚ+GDOŚ+RDOŚ_Bydgoszcz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z\AppData\Local\Temp\7zO48AD60BB\FE-POIŚ+GDOŚ+RDOŚ_Bydgoszcz+UE-FS czern poziom 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Powyższy ciąg znaków w trzech wersjach kolorystycznych zostanie przekazany przez Zamawiającego do Wykonawcy w postaci plików .</w:t>
      </w:r>
      <w:proofErr w:type="spellStart"/>
      <w:r w:rsidRPr="006C6979">
        <w:rPr>
          <w:rFonts w:ascii="Times New Roman" w:hAnsi="Times New Roman"/>
        </w:rPr>
        <w:t>png</w:t>
      </w:r>
      <w:proofErr w:type="spellEnd"/>
      <w:r w:rsidRPr="006C6979">
        <w:rPr>
          <w:rFonts w:ascii="Times New Roman" w:hAnsi="Times New Roman"/>
        </w:rPr>
        <w:t>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Logotypy należy umieszczać w stopce ww. dokumentów, w kolejności wskazanej powyżej.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Logotypy powinny w miarę możliwości występować w kolorze. 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Wersję jednobarwną wolno stosować w uzasadnionych przypadkach, np. braku możliwości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wykorzystania wersji kolorowej ze względów technicznych. Szczególnym przypadkiem, pozwalającym na zastosowanie wersji achromatycznej (czarno-białej), jest druk dokumentów (w tym pism), które nie zawierają innych kolorów poza czernią.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2) Dokumenty finansowe – faktury, rachunki i inne dokumenty finansowo-księgowe nie podlegają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oznaczeniu.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3) Wszelkie wymogi odnoszące się do oznaczania dokumentów dotyczą sytuacji, </w:t>
      </w:r>
      <w:r w:rsidRPr="006C6979">
        <w:rPr>
          <w:rFonts w:ascii="Times New Roman" w:hAnsi="Times New Roman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:rsidR="003D2ECD" w:rsidRPr="00E6627A" w:rsidRDefault="003D2ECD" w:rsidP="00EF4F3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sectPr w:rsidR="003D2ECD" w:rsidRPr="00E6627A" w:rsidSect="00BD2F4B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34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FD" w:rsidRDefault="00C14AFD">
      <w:pPr>
        <w:spacing w:line="240" w:lineRule="auto"/>
      </w:pPr>
      <w:r>
        <w:separator/>
      </w:r>
    </w:p>
  </w:endnote>
  <w:endnote w:type="continuationSeparator" w:id="0">
    <w:p w:rsidR="00C14AFD" w:rsidRDefault="00C14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FD" w:rsidRDefault="00C14AF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14AFD" w:rsidRDefault="00C14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DB5C20"/>
    <w:multiLevelType w:val="hybridMultilevel"/>
    <w:tmpl w:val="F89C423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" w15:restartNumberingAfterBreak="0">
    <w:nsid w:val="2E12262E"/>
    <w:multiLevelType w:val="hybridMultilevel"/>
    <w:tmpl w:val="F3E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2FCB34C1"/>
    <w:multiLevelType w:val="hybridMultilevel"/>
    <w:tmpl w:val="A64C6536"/>
    <w:lvl w:ilvl="0" w:tplc="7EE21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48B3D09"/>
    <w:multiLevelType w:val="hybridMultilevel"/>
    <w:tmpl w:val="78165290"/>
    <w:lvl w:ilvl="0" w:tplc="8DA09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1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2C00DE"/>
    <w:multiLevelType w:val="hybridMultilevel"/>
    <w:tmpl w:val="F0D6C43C"/>
    <w:lvl w:ilvl="0" w:tplc="7EE21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628B4A4C"/>
    <w:multiLevelType w:val="multilevel"/>
    <w:tmpl w:val="EF60DD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743A1BA1"/>
    <w:multiLevelType w:val="hybridMultilevel"/>
    <w:tmpl w:val="6BB0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A654A7"/>
    <w:multiLevelType w:val="hybridMultilevel"/>
    <w:tmpl w:val="83525C4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17"/>
  </w:num>
  <w:num w:numId="6">
    <w:abstractNumId w:val="31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1"/>
  </w:num>
  <w:num w:numId="13">
    <w:abstractNumId w:val="20"/>
  </w:num>
  <w:num w:numId="14">
    <w:abstractNumId w:val="34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5"/>
  </w:num>
  <w:num w:numId="24">
    <w:abstractNumId w:val="4"/>
  </w:num>
  <w:num w:numId="25">
    <w:abstractNumId w:val="10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6"/>
  </w:num>
  <w:num w:numId="42">
    <w:abstractNumId w:val="11"/>
  </w:num>
  <w:num w:numId="43">
    <w:abstractNumId w:val="6"/>
  </w:num>
  <w:num w:numId="44">
    <w:abstractNumId w:val="23"/>
  </w:num>
  <w:num w:numId="45">
    <w:abstractNumId w:val="36"/>
  </w:num>
  <w:num w:numId="46">
    <w:abstractNumId w:val="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CD"/>
    <w:rsid w:val="00040FA8"/>
    <w:rsid w:val="00072353"/>
    <w:rsid w:val="000E1778"/>
    <w:rsid w:val="000F1058"/>
    <w:rsid w:val="00107A1B"/>
    <w:rsid w:val="001B7B98"/>
    <w:rsid w:val="001B7EFB"/>
    <w:rsid w:val="00224B1A"/>
    <w:rsid w:val="002734EF"/>
    <w:rsid w:val="003D2ECD"/>
    <w:rsid w:val="00446B9D"/>
    <w:rsid w:val="004D46C3"/>
    <w:rsid w:val="00525602"/>
    <w:rsid w:val="0055447C"/>
    <w:rsid w:val="005743A5"/>
    <w:rsid w:val="005C510F"/>
    <w:rsid w:val="005D5DB3"/>
    <w:rsid w:val="006C6979"/>
    <w:rsid w:val="0073580B"/>
    <w:rsid w:val="00862277"/>
    <w:rsid w:val="008A65F2"/>
    <w:rsid w:val="008B67E9"/>
    <w:rsid w:val="008C07AF"/>
    <w:rsid w:val="008D693F"/>
    <w:rsid w:val="00925A92"/>
    <w:rsid w:val="0093680B"/>
    <w:rsid w:val="00970980"/>
    <w:rsid w:val="00A30958"/>
    <w:rsid w:val="00A4387D"/>
    <w:rsid w:val="00A63049"/>
    <w:rsid w:val="00AB0D88"/>
    <w:rsid w:val="00AF542F"/>
    <w:rsid w:val="00B16B91"/>
    <w:rsid w:val="00B2755A"/>
    <w:rsid w:val="00B75758"/>
    <w:rsid w:val="00BD2F4B"/>
    <w:rsid w:val="00BE20CD"/>
    <w:rsid w:val="00C14AFD"/>
    <w:rsid w:val="00C34352"/>
    <w:rsid w:val="00C702CC"/>
    <w:rsid w:val="00CB7AFD"/>
    <w:rsid w:val="00CF6F8C"/>
    <w:rsid w:val="00D30172"/>
    <w:rsid w:val="00D55F0D"/>
    <w:rsid w:val="00DC4944"/>
    <w:rsid w:val="00E06D32"/>
    <w:rsid w:val="00E6627A"/>
    <w:rsid w:val="00E84F0F"/>
    <w:rsid w:val="00EF4F31"/>
    <w:rsid w:val="00F315EF"/>
    <w:rsid w:val="00F73690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915"/>
  <w15:docId w15:val="{56F18C8D-F67C-4A40-86A9-094034A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Mania</cp:lastModifiedBy>
  <cp:revision>9</cp:revision>
  <cp:lastPrinted>2017-12-15T11:03:00Z</cp:lastPrinted>
  <dcterms:created xsi:type="dcterms:W3CDTF">2018-01-18T09:41:00Z</dcterms:created>
  <dcterms:modified xsi:type="dcterms:W3CDTF">2019-02-28T11:27:00Z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