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8B" w:rsidRDefault="00C40C8B" w:rsidP="00C40C8B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C40C8B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Załącznik nr 1 do SIWZ</w:t>
      </w:r>
    </w:p>
    <w:p w:rsidR="00C40C8B" w:rsidRDefault="00C40C8B" w:rsidP="00C40C8B">
      <w:pPr>
        <w:widowControl/>
        <w:autoSpaceDN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bookmarkStart w:id="0" w:name="_GoBack"/>
      <w:bookmarkEnd w:id="0"/>
    </w:p>
    <w:p w:rsidR="004641C5" w:rsidRPr="009031E4" w:rsidRDefault="004641C5" w:rsidP="00FF302A">
      <w:pPr>
        <w:widowControl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>OPIS PRZEDMIOTU ZAMÓWIENIA</w:t>
      </w:r>
    </w:p>
    <w:p w:rsidR="004641C5" w:rsidRPr="009031E4" w:rsidRDefault="004641C5" w:rsidP="004641C5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9031E4" w:rsidRDefault="004641C5" w:rsidP="004641C5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 zamówienia.</w:t>
      </w:r>
    </w:p>
    <w:p w:rsidR="004641C5" w:rsidRPr="009031E4" w:rsidRDefault="004641C5" w:rsidP="00FF302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Przedmiotem zamówienia jest sporządzenie dokumentacji pt.: „Uzupełnienie stanu wiedzy w zakresie występowania i stanu ochrony wybranych siedlisk przyrodniczych oraz gatunków roślin i zwierząt w obszarze Natura 2000 Dolina Noteci PLH300004</w:t>
      </w:r>
      <w:r w:rsidR="00775AC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granicach województwa kujawsko-pomorskiego”.</w:t>
      </w: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Zakres prac w ramach przedmiotu zamówienia:</w:t>
      </w:r>
    </w:p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Przeprowadzenie prac terenowych – inwentaryzacji w obszarze Natura 2000 Dolina Noteci PLH300004 (na terenie województwa kujawsko-pomorskiego</w:t>
      </w:r>
      <w:r w:rsidR="00775ACE" w:rsidRPr="009031E4">
        <w:rPr>
          <w:rFonts w:ascii="Times New Roman" w:hAnsi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z wyłączeniem rezerwatu przyrody Borek, Skarpy Ślesińskie, Las </w:t>
      </w:r>
      <w:proofErr w:type="spellStart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Minikowski</w:t>
      </w:r>
      <w:proofErr w:type="spellEnd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, czyli na pow. ok. </w:t>
      </w:r>
      <w:r w:rsidR="00BD3AB6" w:rsidRPr="009031E4">
        <w:rPr>
          <w:rFonts w:ascii="Times New Roman" w:hAnsi="Times New Roman"/>
          <w:kern w:val="0"/>
          <w:sz w:val="24"/>
          <w:szCs w:val="24"/>
          <w:lang w:eastAsia="ar-SA"/>
        </w:rPr>
        <w:t>11</w:t>
      </w:r>
      <w:r w:rsidR="005D35B0" w:rsidRPr="009031E4">
        <w:rPr>
          <w:rFonts w:ascii="Times New Roman" w:hAnsi="Times New Roman"/>
          <w:kern w:val="0"/>
          <w:sz w:val="24"/>
          <w:szCs w:val="24"/>
          <w:lang w:eastAsia="ar-SA"/>
        </w:rPr>
        <w:t>690</w:t>
      </w:r>
      <w:r w:rsidR="00BD3AB6" w:rsidRPr="009031E4">
        <w:rPr>
          <w:rFonts w:ascii="Times New Roman" w:hAnsi="Times New Roman"/>
          <w:kern w:val="0"/>
          <w:sz w:val="24"/>
          <w:szCs w:val="24"/>
          <w:lang w:eastAsia="ar-SA"/>
        </w:rPr>
        <w:t>,</w:t>
      </w:r>
      <w:r w:rsidR="005D35B0" w:rsidRPr="009031E4">
        <w:rPr>
          <w:rFonts w:ascii="Times New Roman" w:hAnsi="Times New Roman"/>
          <w:kern w:val="0"/>
          <w:sz w:val="24"/>
          <w:szCs w:val="24"/>
          <w:lang w:eastAsia="ar-SA"/>
        </w:rPr>
        <w:t>30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ha) w celu uzupełnienia stanu wiedzy na temat występowania i stanu ochrony następujących siedlisk przyrodniczych oraz gatunków roślin i zwierząt i ich siedlisk: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3150 Starorzecza i naturalne eutroficzne zbiorniki wodne ze zbiorowiskami z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Nympheion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,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Potamion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3270 Zalewane muliste brzegi rzek z roślinnością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Chenopodion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rubri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p.p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.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Bidention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p.p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.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val="en-US"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val="en-US" w:eastAsia="ar-SA"/>
        </w:rPr>
        <w:t xml:space="preserve">4030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val="en-US" w:eastAsia="ar-SA"/>
        </w:rPr>
        <w:t>Suche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val="en-US"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val="en-US" w:eastAsia="ar-SA"/>
        </w:rPr>
        <w:t>wrzosowiska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val="en-US" w:eastAsia="ar-SA"/>
        </w:rPr>
        <w:t xml:space="preserve">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ar-SA"/>
        </w:rPr>
        <w:t>Calluno-Genistion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ar-SA"/>
        </w:rPr>
        <w:t xml:space="preserve">,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ar-SA"/>
        </w:rPr>
        <w:t>Pohlio-Callunion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ar-SA"/>
        </w:rPr>
        <w:t xml:space="preserve">,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val="en-US" w:eastAsia="ar-SA"/>
        </w:rPr>
        <w:t>Calluno-Arctostaphylion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val="en-US"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6210 Murawy kserotermiczne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Festuco-Brometea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ciepłolubne murawy </w:t>
      </w: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z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Asplenion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septentrionalis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Festucion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pallentis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6410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Zmiennowilgotne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łąki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trzęślicowe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Molinion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6430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Ziołorośla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górskie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Adenostylion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alliariae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) i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ziołorośla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nadrzeczne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Convolvuletalia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sepium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6510 Niżowe i górskie świeże łąki użytkowane ekstensywnie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Arrhenatherion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elatioris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9110 Kwaśne buczyny </w:t>
      </w: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Luzulo-Fagetum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9130 Żyzne buczyny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Dentario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glandulosae-Fagenion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</w:t>
      </w: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Galio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odorati-Fagenion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9170 Grąd środkowoeuropejski i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subkontynentalny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</w:t>
      </w: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Galio-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Carpinetum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,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Tilio-Carpinetum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9190 Kwaśne dąbrowy (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Quercion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robori-petraeae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91E0 Łęgi wierzbowe, topolowe, olszowe i jesionowe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Salicetum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albo-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fragilis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,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Populetum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albae,Alnenion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glutinoso-incanae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 i olsy źródliskowe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91I0 Ciepłolubne dąbrowy (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Quercetalia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pubescenti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-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petraeae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) 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bookmarkStart w:id="1" w:name="_Hlk500426397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1617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Starodub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łąkowy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Angelica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palustris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(=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Ostericum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palustre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) 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bookmarkStart w:id="2" w:name="_Hlk500427148"/>
      <w:bookmarkEnd w:id="1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4038 Czerwończyk fioletek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Lycaena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helle</w:t>
      </w:r>
      <w:proofErr w:type="spellEnd"/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1355 </w:t>
      </w:r>
      <w:r w:rsidR="00A86EC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ydra </w:t>
      </w: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Lutra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lutra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1188 </w:t>
      </w:r>
      <w:r w:rsidR="00A86EC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umak nizinny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Bombina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bombina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</w:p>
    <w:p w:rsidR="004641C5" w:rsidRPr="009031E4" w:rsidRDefault="004641C5" w:rsidP="00C64999">
      <w:pPr>
        <w:widowControl/>
        <w:numPr>
          <w:ilvl w:val="0"/>
          <w:numId w:val="40"/>
        </w:numPr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1145 </w:t>
      </w:r>
      <w:r w:rsidR="00A86EC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iskorz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Misgurnus</w:t>
      </w:r>
      <w:proofErr w:type="spellEnd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 xml:space="preserve"> </w:t>
      </w:r>
      <w:proofErr w:type="spellStart"/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fossilis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bookmarkEnd w:id="2"/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Przedstawienie charakterystyki i rozmieszczenia przedmiotów ochrony na terenie objętym inwentaryzacją.</w:t>
      </w:r>
    </w:p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Ocenę stanu ochrony zinwentaryzowanych przedmiotów ochrony.</w:t>
      </w:r>
    </w:p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Identyfikację oraz analizę rzeczywistych i potencjalnych zagrożeń dla inwentaryzowanych płatów siedlisk, populacji gatunków i ich siedlisk oraz ich opis. </w:t>
      </w:r>
    </w:p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Ustalenie celów działań ochronnych dla zinwentaryzowanych </w:t>
      </w:r>
      <w:r w:rsidR="000D529D" w:rsidRPr="009031E4">
        <w:rPr>
          <w:rFonts w:ascii="Times New Roman" w:hAnsi="Times New Roman"/>
          <w:kern w:val="0"/>
          <w:sz w:val="24"/>
          <w:szCs w:val="24"/>
          <w:lang w:eastAsia="ar-SA"/>
        </w:rPr>
        <w:t>przedmiotów ochrony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Ustalenie działań ochronnych dla zinwentaryzowanych </w:t>
      </w:r>
      <w:r w:rsidR="00107F40" w:rsidRPr="009031E4">
        <w:rPr>
          <w:rFonts w:ascii="Times New Roman" w:hAnsi="Times New Roman"/>
          <w:kern w:val="0"/>
          <w:sz w:val="24"/>
          <w:szCs w:val="24"/>
          <w:lang w:eastAsia="ar-SA"/>
        </w:rPr>
        <w:t>przedmiotów ochrony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P</w:t>
      </w:r>
      <w:r w:rsidR="00FE0314" w:rsidRPr="009031E4">
        <w:rPr>
          <w:rFonts w:ascii="Times New Roman" w:hAnsi="Times New Roman"/>
          <w:kern w:val="0"/>
          <w:sz w:val="24"/>
          <w:szCs w:val="24"/>
          <w:lang w:eastAsia="ar-SA"/>
        </w:rPr>
        <w:t>rzygotowanie p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rojekt</w:t>
      </w:r>
      <w:r w:rsidR="00FE0314" w:rsidRPr="009031E4">
        <w:rPr>
          <w:rFonts w:ascii="Times New Roman" w:hAnsi="Times New Roman"/>
          <w:kern w:val="0"/>
          <w:sz w:val="24"/>
          <w:szCs w:val="24"/>
          <w:lang w:eastAsia="ar-SA"/>
        </w:rPr>
        <w:t>u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zmiany zarządzenia w sprawie ustanowienia </w:t>
      </w:r>
      <w:r w:rsidR="003169E7" w:rsidRPr="009031E4">
        <w:rPr>
          <w:rFonts w:ascii="Times New Roman" w:hAnsi="Times New Roman"/>
          <w:kern w:val="0"/>
          <w:sz w:val="24"/>
          <w:szCs w:val="24"/>
          <w:lang w:eastAsia="ar-SA"/>
        </w:rPr>
        <w:t>p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lanu </w:t>
      </w:r>
      <w:r w:rsidR="003169E7" w:rsidRPr="009031E4">
        <w:rPr>
          <w:rFonts w:ascii="Times New Roman" w:hAnsi="Times New Roman"/>
          <w:kern w:val="0"/>
          <w:sz w:val="24"/>
          <w:szCs w:val="24"/>
          <w:lang w:eastAsia="ar-SA"/>
        </w:rPr>
        <w:t>z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adań </w:t>
      </w:r>
      <w:r w:rsidR="003169E7" w:rsidRPr="009031E4">
        <w:rPr>
          <w:rFonts w:ascii="Times New Roman" w:hAnsi="Times New Roman"/>
          <w:kern w:val="0"/>
          <w:sz w:val="24"/>
          <w:szCs w:val="24"/>
          <w:lang w:eastAsia="ar-SA"/>
        </w:rPr>
        <w:t>o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chronnych dla obszaru Natura 2000 w części dotyczącej analizowanego obszaru wraz z jego uzasadnieniem merytorycznym lub uzasadnienie braku takiej potrzeby.</w:t>
      </w:r>
    </w:p>
    <w:p w:rsidR="004641C5" w:rsidRPr="009031E4" w:rsidRDefault="004641C5" w:rsidP="000344E6">
      <w:pPr>
        <w:pStyle w:val="Akapitzlist"/>
        <w:numPr>
          <w:ilvl w:val="1"/>
          <w:numId w:val="45"/>
        </w:numPr>
        <w:autoSpaceDN/>
        <w:ind w:left="1134" w:hanging="414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Opracowanie dokumentacji w wersji papierowej oraz elektronicznej, w tym cyfrow</w:t>
      </w:r>
      <w:r w:rsidR="00AF5D10" w:rsidRPr="009031E4">
        <w:rPr>
          <w:rFonts w:ascii="Times New Roman" w:hAnsi="Times New Roman"/>
          <w:kern w:val="0"/>
          <w:sz w:val="24"/>
          <w:szCs w:val="24"/>
          <w:lang w:eastAsia="ar-SA"/>
        </w:rPr>
        <w:t>ych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warstw informacyjn</w:t>
      </w:r>
      <w:r w:rsidR="00AF5D10" w:rsidRPr="009031E4">
        <w:rPr>
          <w:rFonts w:ascii="Times New Roman" w:hAnsi="Times New Roman"/>
          <w:kern w:val="0"/>
          <w:sz w:val="24"/>
          <w:szCs w:val="24"/>
          <w:lang w:eastAsia="ar-SA"/>
        </w:rPr>
        <w:t>ych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w formacie ESRI </w:t>
      </w:r>
      <w:proofErr w:type="spellStart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w układzie współrzędnych płaskich prostokątnych PL-1992</w:t>
      </w:r>
      <w:r w:rsidR="000344E6" w:rsidRPr="009031E4">
        <w:rPr>
          <w:rFonts w:ascii="Times New Roman" w:hAnsi="Times New Roman"/>
          <w:kern w:val="0"/>
          <w:sz w:val="24"/>
          <w:szCs w:val="24"/>
          <w:lang w:eastAsia="ar-SA"/>
        </w:rPr>
        <w:t>, dokumentujących rozmieszczenie zinwentaryzowanych przedmiotów ochrony w obszarze Natura 2000 oraz lokalizację stanowisk badawczych, wyznaczone powierzchnie/</w:t>
      </w:r>
      <w:proofErr w:type="spellStart"/>
      <w:r w:rsidR="000344E6" w:rsidRPr="009031E4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="000344E6"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2000.</w:t>
      </w:r>
    </w:p>
    <w:p w:rsidR="004641C5" w:rsidRPr="009031E4" w:rsidRDefault="004641C5" w:rsidP="00FF302A">
      <w:pPr>
        <w:widowControl/>
        <w:suppressAutoHyphens w:val="0"/>
        <w:autoSpaceDN/>
        <w:ind w:left="720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realizacji prac w ramach przedmiotu zamówienia</w:t>
      </w:r>
    </w:p>
    <w:p w:rsidR="004641C5" w:rsidRPr="009031E4" w:rsidRDefault="000344E6" w:rsidP="000344E6">
      <w:pPr>
        <w:widowControl/>
        <w:suppressAutoHyphens w:val="0"/>
        <w:autoSpaceDN/>
        <w:ind w:left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3.1. </w:t>
      </w:r>
      <w:r w:rsidR="004641C5"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Prace terenowe będą polegać w szczególności na:</w:t>
      </w:r>
    </w:p>
    <w:p w:rsidR="004641C5" w:rsidRPr="009031E4" w:rsidRDefault="004641C5" w:rsidP="00240F93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Inwentaryzacji siedlisk o kodach: </w:t>
      </w:r>
      <w:r w:rsidR="0091046A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3150, 3270, 4030, 6210, 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6410, </w:t>
      </w:r>
      <w:r w:rsidR="0091046A"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6430, 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6510, </w:t>
      </w:r>
      <w:r w:rsidR="0091046A"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9110, 9130, 9170, 9190, 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91E0, 91</w:t>
      </w:r>
      <w:r w:rsidR="0091046A"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I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0</w:t>
      </w:r>
      <w:r w:rsidR="0091046A"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oraz gatunków o kodach: 1355 wydra, 1188 kumak nizinny, 1145 piskorz,</w:t>
      </w:r>
      <w:r w:rsidR="00240F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1617 </w:t>
      </w:r>
      <w:proofErr w:type="spellStart"/>
      <w:r w:rsidR="00240F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starodub</w:t>
      </w:r>
      <w:proofErr w:type="spellEnd"/>
      <w:r w:rsidR="00240F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łąkowy, </w:t>
      </w:r>
      <w:r w:rsidR="00240F9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4038 czerwończyk fioletek</w:t>
      </w:r>
      <w:r w:rsidR="00240F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 tym </w:t>
      </w:r>
      <w:r w:rsidR="006741B4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określenia 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rzeczywistego rozmieszczenia populacji gatunków oraz korytarzy ich migracji, a także liczebności gatunków, stanowiących przedmiot ochrony</w:t>
      </w:r>
      <w:r w:rsidR="000066F5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w obszarze Natura 2000 </w:t>
      </w:r>
      <w:r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Dolina Noteci PLH300004, poprzedzon</w:t>
      </w:r>
      <w:r w:rsidR="006741B4"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ej</w:t>
      </w:r>
      <w:r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weryfikacją dostępnych danych literaturowych pod kątem występowania i stanu ochrony przedmiotowych siedlisk i gatunków</w:t>
      </w:r>
      <w:r w:rsidR="002D3A6A"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w obszarze Natura 2000.</w:t>
      </w:r>
    </w:p>
    <w:p w:rsidR="004641C5" w:rsidRPr="009031E4" w:rsidRDefault="004641C5" w:rsidP="00FF302A">
      <w:pPr>
        <w:autoSpaceDN/>
        <w:ind w:left="144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Ponadto w przypadku:</w:t>
      </w:r>
    </w:p>
    <w:p w:rsidR="004641C5" w:rsidRPr="009031E4" w:rsidRDefault="004641C5" w:rsidP="00FF302A">
      <w:pPr>
        <w:autoSpaceDN/>
        <w:ind w:left="144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- kumaka nizinnego 1188 -</w:t>
      </w:r>
      <w:r w:rsidR="00BB436F"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inwentaryzacja herpetologiczna obejmować ma całość obszaru badań w zakresie ustalenia lokalizacji miejsc rozrodu gatunku, 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lastRenderedPageBreak/>
        <w:t xml:space="preserve">oszacowania wielkości populacji rozrodczej, ustalenia istotnych obszarów </w:t>
      </w:r>
      <w:proofErr w:type="spellStart"/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>zimowiskowych</w:t>
      </w:r>
      <w:proofErr w:type="spellEnd"/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oraz szlaków migracji wiosennej i jesiennej pod kątem potencjalnych konfliktów szlaków migracji z infrastrukturą drogową;</w:t>
      </w:r>
    </w:p>
    <w:p w:rsidR="004641C5" w:rsidRPr="009031E4" w:rsidRDefault="004641C5" w:rsidP="00FF302A">
      <w:pPr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 piskorza 1145</w:t>
      </w:r>
      <w:r w:rsidR="00BB436F"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-</w:t>
      </w: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ocena liczebności i zagęszczenia oraz ocena stanu zachowania populacji gatunku wykonana będzie w optymalnym do jej przeprowadzenia terminie, przy korzystnych dla prowadzenia badań ichtiobiologicznych warunkach hydrologicznych (średnie bądź niskie stany wód), będzie zawierać również informacje o </w:t>
      </w:r>
      <w:proofErr w:type="spellStart"/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hydromorfologi</w:t>
      </w:r>
      <w:r w:rsidR="00BB436F"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</w:t>
      </w:r>
      <w:proofErr w:type="spellEnd"/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siedlisk gatunku;</w:t>
      </w:r>
    </w:p>
    <w:p w:rsidR="004641C5" w:rsidRPr="009031E4" w:rsidRDefault="004641C5" w:rsidP="00C6499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Ocenie reprezentatywnej ilości płatów siedlisk oraz stanowisk roślin</w:t>
      </w:r>
      <w:r w:rsidR="000066F5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 zwierząt,</w:t>
      </w:r>
      <w:r w:rsidRPr="009031E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z zastrzeżeniem, że </w:t>
      </w:r>
      <w:r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>ocenie będą podlegać:</w:t>
      </w:r>
    </w:p>
    <w:p w:rsidR="004641C5" w:rsidRPr="009031E4" w:rsidRDefault="004641C5" w:rsidP="00C6499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wszystkie płaty siedlisk/stanowiska gatunków – dla stwierdzenia do 5 płatów siedlisk / stanowisk gatunku,</w:t>
      </w:r>
    </w:p>
    <w:p w:rsidR="004641C5" w:rsidRPr="009031E4" w:rsidRDefault="004641C5" w:rsidP="00C6499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minimum 5 płatów siedlisk/stanowisk gatunków – dla stwierdzenia 5-10 płatów siedlisk / stanowisk gatunku,</w:t>
      </w:r>
    </w:p>
    <w:p w:rsidR="004641C5" w:rsidRPr="009031E4" w:rsidRDefault="004641C5" w:rsidP="00C64999">
      <w:pPr>
        <w:widowControl/>
        <w:numPr>
          <w:ilvl w:val="0"/>
          <w:numId w:val="4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minimum 50% płatów siedlisk/stanowisk gatunków – dla stwierdzenia powyżej 10 płatów siedlisk / stanowisk gatunku. </w:t>
      </w:r>
    </w:p>
    <w:p w:rsidR="00D74C77" w:rsidRPr="009031E4" w:rsidRDefault="004638D3" w:rsidP="00D74C77">
      <w:pPr>
        <w:widowControl/>
        <w:suppressAutoHyphens w:val="0"/>
        <w:autoSpaceDN/>
        <w:ind w:left="1416"/>
        <w:jc w:val="both"/>
        <w:textAlignment w:val="auto"/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W </w:t>
      </w:r>
      <w:r w:rsidR="00D74C77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powyższej ocen</w:t>
      </w:r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ie</w:t>
      </w:r>
      <w:r w:rsidR="00D74C77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 należy </w:t>
      </w:r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obligatoryjnie uwzględnić:</w:t>
      </w:r>
      <w:r w:rsidR="00B92271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 płaty siedliska 91F0 położone w gminie Sadki, obręb Samostrzel, działka nr: 3052/1 oraz obręb Bnin, działka nr 3056/1, a także stanowisk</w:t>
      </w:r>
      <w:r w:rsidR="00175D70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o</w:t>
      </w:r>
      <w:r w:rsidR="00B92271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 wydry położone w gminie Sadki, obręb Anieliny, działka nr: 274</w:t>
      </w:r>
      <w:r w:rsidR="003A381A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C64999">
      <w:pPr>
        <w:widowControl/>
        <w:numPr>
          <w:ilvl w:val="0"/>
          <w:numId w:val="36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Udokumentowaniu w postaci zdjęć fitosocjologicznych roślinności w miejscach gdzie nie stwierdzono występowania siedlisk przyrodniczych lub gatunków roślin oraz czerwończyka fioletka, a były one uprzednio wykazane</w:t>
      </w:r>
      <w:r w:rsidR="006A110F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w dokumentacji do planu ochrony obszaru Natura 2000 Dolina Noteci PLH300004 lub dokumentacji do planu ochrony Doliny Środkowej Noteci</w:t>
      </w:r>
      <w:r w:rsidR="006A110F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 xml:space="preserve">i Kanału Bydgoskiego PLB300001, </w:t>
      </w:r>
      <w:bookmarkStart w:id="3" w:name="_Hlk504033005"/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wyjaśnieniu przyczyn rozbieżności (błąd metodyczny przy wyznaczaniu siedliska czy zniszczenie siedliska</w:t>
      </w:r>
      <w:r w:rsidR="000066F5"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bCs/>
          <w:iCs/>
          <w:kern w:val="0"/>
          <w:sz w:val="24"/>
          <w:szCs w:val="24"/>
          <w:lang w:eastAsia="ar-SA"/>
        </w:rPr>
        <w:t>w wyniku procesów naturalnych lub antropogenicznych). W przypadku stwierdzenia zniszczenia siedliska należy ponadto ocenić możliwość jego odtworzenia.</w:t>
      </w:r>
    </w:p>
    <w:bookmarkEnd w:id="3"/>
    <w:p w:rsidR="004641C5" w:rsidRPr="009031E4" w:rsidRDefault="004641C5" w:rsidP="00C6499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O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cenie stanu ochrony zinwentaryzowanych płatów siedlisk i gatunków przez ekspertów - specjalistów od określonych siedlisk i gatunków, zgodnie</w:t>
      </w:r>
      <w:r w:rsidR="0014528B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 metodykami opracowanymi dla potrzeb Państwowego Monitoringu Środowiska (PMŚ), opublikowanymi w pracach dostępnych pod adresem internetowym </w:t>
      </w:r>
      <w:hyperlink r:id="rId8" w:history="1">
        <w:r w:rsidRPr="009031E4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</w:rPr>
          <w:t>http://siedliska.gios.gov.pl/pl/publikacje/przewodniki-metodyczne</w:t>
        </w:r>
      </w:hyperlink>
      <w:r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(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potwierdzeniem wykonania oceny będzie karta oceny sporządzona wg wzorów zawartych w metodykach).</w:t>
      </w:r>
    </w:p>
    <w:p w:rsidR="004641C5" w:rsidRPr="009031E4" w:rsidRDefault="004641C5" w:rsidP="00C64999">
      <w:pPr>
        <w:widowControl/>
        <w:numPr>
          <w:ilvl w:val="0"/>
          <w:numId w:val="36"/>
        </w:numPr>
        <w:autoSpaceDN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przypadku siedlisk leśnych, w karcie ocen dokumentując ilość martwego drewna należy przedstawić wyniki pomiarów martwego drewna wraz ze wskazaniem stosowanej metodyki.</w:t>
      </w:r>
    </w:p>
    <w:p w:rsidR="004641C5" w:rsidRPr="009031E4" w:rsidRDefault="000344E6" w:rsidP="000344E6">
      <w:pPr>
        <w:pStyle w:val="Akapitzlist"/>
        <w:numPr>
          <w:ilvl w:val="1"/>
          <w:numId w:val="47"/>
        </w:numPr>
        <w:autoSpaceDN/>
        <w:jc w:val="both"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 </w:t>
      </w:r>
      <w:r w:rsidR="004641C5" w:rsidRPr="009031E4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Identyfikacja oraz analiza rzeczywistych i potencjalnych zagrożeń </w:t>
      </w:r>
      <w:bookmarkStart w:id="4" w:name="_Hlk502825364"/>
      <w:r w:rsidR="004641C5" w:rsidRPr="009031E4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 xml:space="preserve">dla inwentaryzowanych przedmiotów ochrony </w:t>
      </w:r>
      <w:bookmarkEnd w:id="4"/>
      <w:r w:rsidR="004641C5" w:rsidRPr="009031E4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oraz ich opis</w:t>
      </w:r>
      <w:r w:rsidR="009A36B0" w:rsidRPr="009031E4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DC2490" w:rsidRPr="009031E4" w:rsidRDefault="004641C5" w:rsidP="00DC2490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lastRenderedPageBreak/>
        <w:t>Wykonawca ustali listę zagrożeń i następnie określi ich charakter oraz wpływ na gatunki i siedliska, dokonując powiązania relacji przyczynowo</w:t>
      </w:r>
      <w:r w:rsidR="00BB436F"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-</w:t>
      </w:r>
      <w:r w:rsidR="00BB436F"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skutkowych ze wskaźnikami decydującymi o ich stanie ochrony.</w:t>
      </w:r>
      <w:r w:rsidR="00DC2490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Zagrożenia należy klasyfikować zgodnie z załącznikiem nr 5 do Instrukcji wypełniania Standardowego Formularza Danych obszaru Natura 2000. Wersja 2012.1, dostępnej pod linkiem: </w:t>
      </w:r>
    </w:p>
    <w:p w:rsidR="004641C5" w:rsidRPr="009031E4" w:rsidRDefault="006877A2" w:rsidP="00DC2490">
      <w:pPr>
        <w:widowControl/>
        <w:autoSpaceDN/>
        <w:ind w:left="144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hyperlink r:id="rId9" w:history="1">
        <w:r w:rsidR="00DC2490" w:rsidRPr="009031E4">
          <w:rPr>
            <w:rStyle w:val="Hipercze"/>
            <w:rFonts w:ascii="Times New Roman" w:eastAsia="Andale Sans UI" w:hAnsi="Times New Roman" w:cs="Times New Roman"/>
            <w:color w:val="auto"/>
            <w:kern w:val="1"/>
            <w:sz w:val="24"/>
            <w:szCs w:val="24"/>
            <w:lang w:eastAsia="ar-SA"/>
          </w:rPr>
          <w:t>http://www.gdos.gov.pl/files/artykuly/5067/instrukcja_wypelniania_sdf.zip</w:t>
        </w:r>
      </w:hyperlink>
      <w:r w:rsidR="00DC2490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4641C5" w:rsidRPr="009031E4" w:rsidRDefault="004641C5" w:rsidP="00C64999">
      <w:pPr>
        <w:widowControl/>
        <w:numPr>
          <w:ilvl w:val="1"/>
          <w:numId w:val="37"/>
        </w:numPr>
        <w:suppressAutoHyphens w:val="0"/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Wykonawca zidentyfikuje zagrożenia istniejące (tj. czynniki mogące wpływać istotnie negatywnie na perspektywy zachowania przedmiotów ochrony, których wpływ obserwowany jest obecnie) i potencjalne (czynniki mogące</w:t>
      </w:r>
      <w:r w:rsidR="000066F5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dającej się przewidzieć perspektywie czasowej wpływać istotnie negatywnie na perspektywy zachowania lub osiągnięcia właściwego stanu ochrony siedlisk przyrodniczych oraz gatunków).</w:t>
      </w:r>
    </w:p>
    <w:p w:rsidR="004641C5" w:rsidRPr="009031E4" w:rsidRDefault="004641C5" w:rsidP="00C64999">
      <w:pPr>
        <w:widowControl/>
        <w:numPr>
          <w:ilvl w:val="1"/>
          <w:numId w:val="37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celu identyfikacji zagrożeń Wykonawca przeanalizuje w szczególności: </w:t>
      </w:r>
    </w:p>
    <w:p w:rsidR="004641C5" w:rsidRPr="009031E4" w:rsidRDefault="004641C5" w:rsidP="00C64999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istniejące i</w:t>
      </w:r>
      <w:r w:rsidR="00BF619D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projektowane </w:t>
      </w:r>
      <w:r w:rsidR="00326EE8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plany urządzenia lasu</w:t>
      </w:r>
      <w:r w:rsidR="00792608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</w:t>
      </w:r>
      <w:r w:rsidR="00326EE8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uproszczone plany urządzenia lasu oraz dokumenty planistyczne: studium, miejscowe plany zagospodarowania;</w:t>
      </w:r>
    </w:p>
    <w:p w:rsidR="00B47C72" w:rsidRPr="009031E4" w:rsidRDefault="004641C5" w:rsidP="00A53FFD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dokumenty planistyczne w zakresie gospodarowania wodami oraz ustalające zasady prowadzenia gospodarki rybackiej w obwodach rybackich;</w:t>
      </w:r>
    </w:p>
    <w:p w:rsidR="00B47C72" w:rsidRPr="009031E4" w:rsidRDefault="004641C5" w:rsidP="004C3B1A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ar-SA"/>
        </w:rPr>
        <w:t>istniejącą infrastrukturę mogącą przyczynić się do pogorszenia stanu siedlisk oraz populacji gatunków w obszarze lub stanu zachowania szlaków migracji zwierząt;</w:t>
      </w:r>
    </w:p>
    <w:p w:rsidR="004641C5" w:rsidRPr="009031E4" w:rsidRDefault="004641C5" w:rsidP="004C3B1A">
      <w:pPr>
        <w:widowControl/>
        <w:numPr>
          <w:ilvl w:val="0"/>
          <w:numId w:val="43"/>
        </w:numPr>
        <w:autoSpaceDN/>
        <w:ind w:left="1440" w:firstLine="0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realizację lub plany realizacji przedsięwzięć </w:t>
      </w:r>
      <w:bookmarkStart w:id="5" w:name="_Hlk502217129"/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mogących przyczynić się do pogorszenia stanu siedlisk przyrodniczych, populacji gatunków w obszarze lub stanu zachowania ich siedlisk</w:t>
      </w:r>
      <w:bookmarkEnd w:id="5"/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i szlaków migracji;</w:t>
      </w:r>
    </w:p>
    <w:p w:rsidR="004641C5" w:rsidRPr="009031E4" w:rsidRDefault="004641C5" w:rsidP="000344E6">
      <w:pPr>
        <w:pStyle w:val="Akapitzlist"/>
        <w:numPr>
          <w:ilvl w:val="1"/>
          <w:numId w:val="47"/>
        </w:numPr>
        <w:autoSpaceDN/>
        <w:ind w:left="1134" w:hanging="426"/>
        <w:jc w:val="both"/>
        <w:textAlignment w:val="auto"/>
        <w:rPr>
          <w:rFonts w:ascii="Times New Roman" w:eastAsia="Times New Roman" w:hAnsi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Ustalenie celów działań ochronnych dla inwentaryzowanych przedmiotów ochrony</w:t>
      </w:r>
      <w:r w:rsidR="00362351">
        <w:rPr>
          <w:rFonts w:ascii="Times New Roman" w:eastAsia="Times New Roman" w:hAnsi="Times New Roman"/>
          <w:bCs/>
          <w:iCs/>
          <w:kern w:val="0"/>
          <w:sz w:val="24"/>
          <w:szCs w:val="24"/>
          <w:lang w:eastAsia="ar-SA"/>
        </w:rPr>
        <w:t>:</w:t>
      </w:r>
    </w:p>
    <w:p w:rsidR="004641C5" w:rsidRPr="009031E4" w:rsidRDefault="004641C5" w:rsidP="000344E6">
      <w:pPr>
        <w:widowControl/>
        <w:numPr>
          <w:ilvl w:val="1"/>
          <w:numId w:val="38"/>
        </w:numPr>
        <w:suppressAutoHyphens w:val="0"/>
        <w:autoSpaceDN/>
        <w:ind w:left="1418" w:hanging="28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W</w:t>
      </w:r>
      <w:r w:rsidRPr="009031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ykonawca przystępując do ustalenia celów działań ochronnych określi długofalową i najlepszą wizję optymalnego stanu ochrony przedmiotów ochrony, która powinna uwzględniać parametry „właściwego stanu ochrony”,</w:t>
      </w:r>
      <w:r w:rsidR="0014528B" w:rsidRPr="009031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</w:r>
      <w:r w:rsidRPr="009031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tym:</w:t>
      </w:r>
    </w:p>
    <w:p w:rsidR="004641C5" w:rsidRPr="009031E4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powierzchnia siedliska w obszarze niepomniejszona, a jeśli jest to możliwe, nawet zwiększona;</w:t>
      </w:r>
    </w:p>
    <w:p w:rsidR="004641C5" w:rsidRPr="009031E4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zachowane lub odtworzone podstawowe cechy ekologiczne siedliska przyrodniczego; </w:t>
      </w:r>
    </w:p>
    <w:p w:rsidR="004641C5" w:rsidRPr="009031E4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zapewnione określone formy użytkowania gospodarczego w przypadku siedlisk półnaturalnych (np. łąkowych i pastwiskowych);</w:t>
      </w:r>
    </w:p>
    <w:p w:rsidR="004641C5" w:rsidRPr="009031E4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zachowan</w:t>
      </w:r>
      <w:r w:rsidR="00B023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a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różnorodnoś</w:t>
      </w:r>
      <w:r w:rsidR="00B023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ć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biologiczn</w:t>
      </w:r>
      <w:r w:rsidR="00B023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a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związan</w:t>
      </w:r>
      <w:r w:rsidR="00B02393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a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z danym typem siedliska w tym: gatunki typowe, rzadkie, chronione, specyficzne dla tego typu siedliska;</w:t>
      </w:r>
    </w:p>
    <w:p w:rsidR="004641C5" w:rsidRPr="009031E4" w:rsidRDefault="004641C5" w:rsidP="00C64999">
      <w:pPr>
        <w:widowControl/>
        <w:numPr>
          <w:ilvl w:val="0"/>
          <w:numId w:val="39"/>
        </w:numPr>
        <w:autoSpaceDN/>
        <w:ind w:left="1788" w:firstLine="0"/>
        <w:jc w:val="both"/>
        <w:textAlignment w:val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zachowane lub odtworzone kluczowe elementy struktury (np. udział starszych drzewostanów i ilość martwego drewna);</w:t>
      </w:r>
    </w:p>
    <w:p w:rsidR="004641C5" w:rsidRPr="009031E4" w:rsidRDefault="004641C5" w:rsidP="000344E6">
      <w:pPr>
        <w:pStyle w:val="Akapitzlist"/>
        <w:numPr>
          <w:ilvl w:val="1"/>
          <w:numId w:val="38"/>
        </w:numPr>
        <w:autoSpaceDN/>
        <w:jc w:val="both"/>
        <w:textAlignment w:val="auto"/>
        <w:rPr>
          <w:rFonts w:ascii="Times New Roman" w:eastAsia="Andale Sans UI" w:hAnsi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Podczas ustalania celów działań ochronnych dla obszaru inwentaryzacji Wykonawca powinien kierować się: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koniecznością utrzymania właściwego stanu ochrony przedmiotów ochrony lub jego osiągnięcia, jeżeli ten stan został oceniony jako niewłaściwy lub zły, dążąc do uzyskania „stanu optymalnego”;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osiągnięcia w okresie najbliższych 5 oraz 10 lat;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istniejącymi i potencjalnymi uwarunkowaniami (w tym społecznymi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  <w:t>i gospodarczymi) oraz ograniczeniami (w tym: technicznymi, finansowymi, organizacyjnymi, wynikającymi z braku wiedzy);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logiką planowania, tj. cele operacyjne powinny zbliżać nas do osiągnięcia celu strategicznego, a także być związane z ograniczaniem zagrożeń;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clear" w:pos="1440"/>
          <w:tab w:val="left" w:pos="1428"/>
        </w:tabs>
        <w:autoSpaceDN/>
        <w:ind w:left="1777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możliwością ich monitorowania i weryfikacji.</w:t>
      </w:r>
    </w:p>
    <w:p w:rsidR="004641C5" w:rsidRPr="009031E4" w:rsidRDefault="000344E6" w:rsidP="000344E6">
      <w:pPr>
        <w:pStyle w:val="Akapitzlist"/>
        <w:numPr>
          <w:ilvl w:val="1"/>
          <w:numId w:val="47"/>
        </w:numPr>
        <w:autoSpaceDN/>
        <w:textAlignment w:val="auto"/>
        <w:rPr>
          <w:rFonts w:ascii="Times New Roman" w:eastAsia="Andale Sans UI" w:hAnsi="Times New Roman"/>
          <w:bCs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 xml:space="preserve"> </w:t>
      </w:r>
      <w:r w:rsidR="004641C5" w:rsidRPr="009031E4">
        <w:rPr>
          <w:rFonts w:ascii="Times New Roman" w:eastAsia="Times New Roman" w:hAnsi="Times New Roman"/>
          <w:kern w:val="0"/>
          <w:sz w:val="24"/>
          <w:szCs w:val="24"/>
          <w:lang w:eastAsia="ar-SA"/>
        </w:rPr>
        <w:t>Ustalenie działań ochronnych:</w:t>
      </w:r>
    </w:p>
    <w:p w:rsidR="004641C5" w:rsidRPr="009031E4" w:rsidRDefault="004641C5" w:rsidP="000344E6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W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ykonawca określi 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odpowiednie działania ochronne w odniesieniu do przyjętych celów działań ochronnych, które mogą dotyczyć między innymi: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wykonania określonych jednorazowych bądź powtarzalnych zadań ochrony czynnej</w:t>
      </w:r>
      <w:r w:rsidR="00462FEB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wdrożenia modyfikacji w stosowanych metodach gospodarowania</w:t>
      </w:r>
      <w:r w:rsidR="0014528B"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br/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 siedliskach</w:t>
      </w:r>
      <w:r w:rsidR="0036235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przyrodniczych, siedliskach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gatunk</w:t>
      </w:r>
      <w:r w:rsidR="0036235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ów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, jeżeli obecny </w:t>
      </w:r>
      <w:r w:rsidR="0036235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ich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stan w obszarze został oceniony jako niezadowalający lub zły;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utrzymania określonych metod gospodarowania w obrębie siedlisk przyrodniczych,</w:t>
      </w:r>
      <w:r w:rsidR="00362351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siedlisk gatunków,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jeżeli obecny ich stan w obszarze został oceniony jako właściwy;</w:t>
      </w:r>
    </w:p>
    <w:p w:rsidR="004641C5" w:rsidRPr="009031E4" w:rsidRDefault="004641C5" w:rsidP="000344E6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W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ykonawca określi działania ochronne, które:</w:t>
      </w:r>
    </w:p>
    <w:p w:rsidR="004641C5" w:rsidRPr="009031E4" w:rsidRDefault="004641C5" w:rsidP="000344E6">
      <w:pPr>
        <w:widowControl/>
        <w:numPr>
          <w:ilvl w:val="1"/>
          <w:numId w:val="33"/>
        </w:numPr>
        <w:tabs>
          <w:tab w:val="left" w:pos="1799"/>
        </w:tabs>
        <w:autoSpaceDN/>
        <w:ind w:left="1799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muszą być indywidualnie zaprojektowane i dostosowane do każdego płatu siedliska</w:t>
      </w:r>
      <w:r w:rsidR="00362351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9031E4" w:rsidRDefault="004641C5" w:rsidP="000344E6">
      <w:pPr>
        <w:widowControl/>
        <w:numPr>
          <w:ilvl w:val="1"/>
          <w:numId w:val="33"/>
        </w:numPr>
        <w:tabs>
          <w:tab w:val="left" w:pos="1799"/>
        </w:tabs>
        <w:autoSpaceDN/>
        <w:ind w:left="1799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stworzą standardowy pakiet działań ochronnych, który może być zastosowany do każdego płatu siedliska</w:t>
      </w:r>
      <w:r w:rsidR="00362351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 stanowiska gatunku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;</w:t>
      </w:r>
    </w:p>
    <w:p w:rsidR="004641C5" w:rsidRPr="009031E4" w:rsidRDefault="004641C5" w:rsidP="000344E6">
      <w:pPr>
        <w:widowControl/>
        <w:numPr>
          <w:ilvl w:val="1"/>
          <w:numId w:val="33"/>
        </w:numPr>
        <w:tabs>
          <w:tab w:val="left" w:pos="1799"/>
        </w:tabs>
        <w:autoSpaceDN/>
        <w:ind w:left="1799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polegają na określeniu ogólnych reguł i procedur gospodarowania (np. ogólnych reguł do stosowania w gospodarce leśnej i rolnej) lub mechanizmów o ogólnym zastosowaniu.</w:t>
      </w:r>
    </w:p>
    <w:p w:rsidR="004641C5" w:rsidRPr="009031E4" w:rsidRDefault="004641C5" w:rsidP="000344E6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Działania ochronne powinny obejmować również działania w zakresie monitoringu osiągnięcia celów działań ochronnych oraz monitoringu stanu ochrony siedlisk. Wykonawca zweryfikuje zakres zaplanowanego w obowiązującym PZO monitoringu</w:t>
      </w:r>
      <w:r w:rsidR="008C0F25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,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="00F30101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wyznaczy stanowiska proponowane do monitoringu 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oraz na postawie przeprowadzonych badań zaproponuje zmiany </w:t>
      </w:r>
      <w:r w:rsidR="00F30101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 PZO 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(jeżeli zostanie stwierdzona taka potrzeba). </w:t>
      </w:r>
    </w:p>
    <w:p w:rsidR="004641C5" w:rsidRPr="009031E4" w:rsidRDefault="004641C5" w:rsidP="000344E6">
      <w:pPr>
        <w:widowControl/>
        <w:numPr>
          <w:ilvl w:val="0"/>
          <w:numId w:val="30"/>
        </w:numPr>
        <w:tabs>
          <w:tab w:val="left" w:pos="1079"/>
        </w:tabs>
        <w:autoSpaceDN/>
        <w:ind w:left="1428" w:hanging="294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Planując działania ochronne należy określić: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rodzaj działań ochronnych;</w:t>
      </w:r>
      <w:r w:rsidRPr="009031E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zakres prac przewidzianych do realizacji i w razie potrzeby warunki co do sposobu ich wykonania;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lastRenderedPageBreak/>
        <w:t>obszar lub miejsce ich realizacji;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termin lub okres oraz częstotliwość ich realizacji;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szacowane koszty ich realizacji wraz ze sposobem ich szacowania,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 odpowiedzialny za ich wykonanie i monitorowanie (proponowany);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techniczne uwarunkowania realizacji działań;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podmioty, których współdziałanie przy realizacji działań ochronnych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br/>
        <w:t>jest niezbędne;</w:t>
      </w:r>
    </w:p>
    <w:p w:rsidR="004641C5" w:rsidRPr="009031E4" w:rsidRDefault="004641C5" w:rsidP="00C64999">
      <w:pPr>
        <w:widowControl/>
        <w:numPr>
          <w:ilvl w:val="0"/>
          <w:numId w:val="34"/>
        </w:numPr>
        <w:autoSpaceDN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ewentualną modyfikację przyjętych </w:t>
      </w:r>
      <w:r w:rsidR="00BE6EC0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 xml:space="preserve">w PZO </w:t>
      </w: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punktów monitoringowych i wyznaczeniu nowych stanowisk</w:t>
      </w:r>
      <w:r w:rsidR="00BB436F"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.</w:t>
      </w:r>
    </w:p>
    <w:p w:rsidR="004641C5" w:rsidRPr="009031E4" w:rsidRDefault="004641C5" w:rsidP="000344E6">
      <w:pPr>
        <w:autoSpaceDN/>
        <w:ind w:left="1418" w:hanging="284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e) W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skazując podmiot odpowiedzialny za wykonanie działań ochronnych należy brać pod uwagę: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zarządcę lub właściciela terenu objętego działaniami ochronnymi;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iCs/>
          <w:kern w:val="1"/>
          <w:sz w:val="24"/>
          <w:szCs w:val="24"/>
          <w:lang w:eastAsia="ar-SA"/>
        </w:rPr>
        <w:t>s</w:t>
      </w: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prawującego nadzór nad obszarem;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zobowiązane do współdziałania w ochronie obszaru Natura 2000 (np. podmioty działające w imieniu państwa, organy władzy publicznej);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podmioty korzystające z rolniczych płatności bezpośrednich ze środków Unii Europejskiej, w zakresie objętym wymogiem wzajemnej zgodności;</w:t>
      </w:r>
    </w:p>
    <w:p w:rsidR="004641C5" w:rsidRPr="009031E4" w:rsidRDefault="004641C5" w:rsidP="00C64999">
      <w:pPr>
        <w:widowControl/>
        <w:numPr>
          <w:ilvl w:val="1"/>
          <w:numId w:val="33"/>
        </w:numPr>
        <w:tabs>
          <w:tab w:val="left" w:pos="1799"/>
        </w:tabs>
        <w:autoSpaceDN/>
        <w:ind w:left="1799"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  <w:lang w:eastAsia="ar-SA"/>
        </w:rPr>
        <w:t>inne podmioty za ich zgodą.</w:t>
      </w:r>
    </w:p>
    <w:p w:rsidR="004641C5" w:rsidRPr="009031E4" w:rsidRDefault="000344E6" w:rsidP="000344E6">
      <w:pPr>
        <w:pStyle w:val="Akapitzlist"/>
        <w:numPr>
          <w:ilvl w:val="1"/>
          <w:numId w:val="47"/>
        </w:num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4641C5"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Projekt zmiany zarządzenia w sprawie ustanowienia planu zadań ochronnych dla obszaru Natura 2000 w części dotyczącej analizowanego obszaru wraz z jego uzasadnieniem merytorycznym lub uzasadnieniem braku takiej potrzeby. </w:t>
      </w:r>
    </w:p>
    <w:p w:rsidR="000344E6" w:rsidRPr="009031E4" w:rsidRDefault="000344E6" w:rsidP="000344E6">
      <w:pPr>
        <w:pStyle w:val="Akapitzlist"/>
        <w:numPr>
          <w:ilvl w:val="1"/>
          <w:numId w:val="47"/>
        </w:num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4641C5" w:rsidRPr="009031E4">
        <w:rPr>
          <w:rFonts w:ascii="Times New Roman" w:hAnsi="Times New Roman"/>
          <w:kern w:val="0"/>
          <w:sz w:val="24"/>
          <w:szCs w:val="24"/>
          <w:lang w:eastAsia="ar-SA"/>
        </w:rPr>
        <w:t>Standard GIS</w:t>
      </w:r>
    </w:p>
    <w:p w:rsidR="000344E6" w:rsidRPr="009031E4" w:rsidRDefault="000344E6" w:rsidP="000344E6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0344E6" w:rsidRPr="009031E4" w:rsidRDefault="000344E6" w:rsidP="000344E6">
      <w:pPr>
        <w:pStyle w:val="Akapitzlist"/>
        <w:autoSpaceDN/>
        <w:spacing w:after="0"/>
        <w:ind w:left="1068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Cyfrowe warstwy wektorowe powinny spełniać następujące wymagania:</w:t>
      </w:r>
    </w:p>
    <w:p w:rsidR="000344E6" w:rsidRPr="009031E4" w:rsidRDefault="000344E6" w:rsidP="000344E6">
      <w:pPr>
        <w:pStyle w:val="Akapitzlist"/>
        <w:numPr>
          <w:ilvl w:val="0"/>
          <w:numId w:val="48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sporządzone zgodnie ze </w:t>
      </w:r>
      <w:r w:rsidR="003E6425">
        <w:rPr>
          <w:rFonts w:ascii="Times New Roman" w:hAnsi="Times New Roman"/>
          <w:kern w:val="0"/>
          <w:sz w:val="24"/>
          <w:szCs w:val="24"/>
          <w:lang w:eastAsia="ar-SA"/>
        </w:rPr>
        <w:t>„</w:t>
      </w:r>
      <w:r w:rsidR="003E6425" w:rsidRPr="003E6425">
        <w:rPr>
          <w:rFonts w:ascii="Times New Roman" w:hAnsi="Times New Roman"/>
          <w:kern w:val="0"/>
          <w:sz w:val="24"/>
          <w:szCs w:val="24"/>
          <w:lang w:eastAsia="ar-SA"/>
        </w:rPr>
        <w:t>Standardem wektorowych danych przestrzennych Generalnej Dyrekcji Ochrony Środowiska na potrzeby gromadzenia informacji o rozmieszczeniu chronionych gatunków, ich siedlisk oraz siedlisk przyrodniczych</w:t>
      </w:r>
      <w:r w:rsidR="003E6425">
        <w:rPr>
          <w:rFonts w:ascii="Times New Roman" w:hAnsi="Times New Roman"/>
          <w:kern w:val="0"/>
          <w:sz w:val="24"/>
          <w:szCs w:val="24"/>
          <w:lang w:eastAsia="ar-SA"/>
        </w:rPr>
        <w:t xml:space="preserve">”, publikowanym na stronie: </w:t>
      </w:r>
      <w:r w:rsidR="003E6425" w:rsidRPr="003E6425">
        <w:rPr>
          <w:rFonts w:ascii="Times New Roman" w:hAnsi="Times New Roman"/>
          <w:kern w:val="0"/>
          <w:sz w:val="24"/>
          <w:szCs w:val="24"/>
          <w:lang w:eastAsia="ar-SA"/>
        </w:rPr>
        <w:t>http://www.gdos.gov.pl/wytyczne-i-poradniki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. Konieczne jest również utworzenie dodatkowych warstw, przedstawiających lokalizację wyznaczonych stanowisk badawczych, wyznaczone powierzchnie/</w:t>
      </w:r>
      <w:proofErr w:type="spellStart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transekty</w:t>
      </w:r>
      <w:proofErr w:type="spellEnd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 w obszarze Natura 2000;</w:t>
      </w:r>
    </w:p>
    <w:p w:rsidR="000344E6" w:rsidRPr="009031E4" w:rsidRDefault="000344E6" w:rsidP="000344E6">
      <w:pPr>
        <w:pStyle w:val="Akapitzlist"/>
        <w:numPr>
          <w:ilvl w:val="0"/>
          <w:numId w:val="48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układ współrzędnych PL-1992 (EPSG: 2180);</w:t>
      </w:r>
    </w:p>
    <w:p w:rsidR="000344E6" w:rsidRPr="009031E4" w:rsidRDefault="000344E6" w:rsidP="000344E6">
      <w:pPr>
        <w:pStyle w:val="Akapitzlist"/>
        <w:numPr>
          <w:ilvl w:val="0"/>
          <w:numId w:val="48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format zapisu warstw wektorowych to ESRI </w:t>
      </w:r>
      <w:proofErr w:type="spellStart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shapefile</w:t>
      </w:r>
      <w:proofErr w:type="spellEnd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(*.</w:t>
      </w:r>
      <w:proofErr w:type="spellStart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shp</w:t>
      </w:r>
      <w:proofErr w:type="spellEnd"/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);</w:t>
      </w:r>
    </w:p>
    <w:p w:rsidR="000344E6" w:rsidRPr="009031E4" w:rsidRDefault="000344E6" w:rsidP="000344E6">
      <w:pPr>
        <w:pStyle w:val="Akapitzlist"/>
        <w:numPr>
          <w:ilvl w:val="0"/>
          <w:numId w:val="48"/>
        </w:numPr>
        <w:autoSpaceDN/>
        <w:spacing w:after="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każdy zbiór danych ma posiadać tzw. metadane, czyli dane o danych. Do metadanych należą m.in. informacje o źródle danych, aktualności, itp.</w:t>
      </w:r>
    </w:p>
    <w:p w:rsidR="000344E6" w:rsidRDefault="000344E6" w:rsidP="003E6425">
      <w:p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3E6425" w:rsidRDefault="003E6425" w:rsidP="003E6425">
      <w:p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3E6425" w:rsidRPr="003E6425" w:rsidRDefault="003E6425" w:rsidP="003E6425">
      <w:p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</w:p>
    <w:p w:rsidR="004641C5" w:rsidRPr="009031E4" w:rsidRDefault="000344E6" w:rsidP="000344E6">
      <w:pPr>
        <w:pStyle w:val="Akapitzlist"/>
        <w:numPr>
          <w:ilvl w:val="1"/>
          <w:numId w:val="47"/>
        </w:numPr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 xml:space="preserve"> </w:t>
      </w:r>
      <w:r w:rsidR="004641C5" w:rsidRPr="009031E4">
        <w:rPr>
          <w:rFonts w:ascii="Times New Roman" w:hAnsi="Times New Roman"/>
          <w:kern w:val="0"/>
          <w:sz w:val="24"/>
          <w:szCs w:val="24"/>
          <w:lang w:eastAsia="ar-SA"/>
        </w:rPr>
        <w:t>Dokumentacja.</w:t>
      </w:r>
    </w:p>
    <w:p w:rsidR="004641C5" w:rsidRPr="009031E4" w:rsidRDefault="004641C5" w:rsidP="00FF302A">
      <w:pPr>
        <w:widowControl/>
        <w:suppressAutoHyphens w:val="0"/>
        <w:autoSpaceDN/>
        <w:ind w:left="108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Dane zebrane i opracowane w trakcie realizacji zamówienia zostaną przekazane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w formie dokumentacji (tekstowej i elektronicznej na płytach CD/DVD) w trzech jednakowych egzemplarzach.</w:t>
      </w:r>
    </w:p>
    <w:p w:rsidR="004641C5" w:rsidRPr="009031E4" w:rsidRDefault="004641C5" w:rsidP="00C6499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Załączniki do dokumentacji:</w:t>
      </w:r>
    </w:p>
    <w:p w:rsidR="004641C5" w:rsidRPr="009031E4" w:rsidRDefault="004641C5" w:rsidP="00FF302A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wypełniony załącznik nr </w:t>
      </w:r>
      <w:r w:rsidR="000344E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OPZ – Szablon dokumentacji </w:t>
      </w:r>
      <w:r w:rsidR="000344E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dot. u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zupełnienia </w:t>
      </w:r>
      <w:r w:rsidR="000344E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tanu </w:t>
      </w:r>
      <w:r w:rsidR="000344E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iedzy o przedmiotach ochrony w obszarze Natura 2000 Dolina Noteci PLH300004;</w:t>
      </w:r>
    </w:p>
    <w:p w:rsidR="004641C5" w:rsidRPr="009031E4" w:rsidRDefault="004641C5" w:rsidP="00FF302A">
      <w:pPr>
        <w:widowControl/>
        <w:suppressAutoHyphens w:val="0"/>
        <w:autoSpaceDN/>
        <w:ind w:left="144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załączniki przedstawiające wyniki badań terenowych (karty obserwacji przedmiotów ochrony na stanowiskach</w:t>
      </w:r>
      <w:r w:rsidR="0017071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na wzorach formularzy stosowany</w:t>
      </w:r>
      <w:r w:rsidR="00D757E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="00775AC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ramach PMŚ oraz zdjęcia fitosocjologiczne wraz z ogólną charakterystyką terenu (gdy dokumentowany był brak siedliska);</w:t>
      </w:r>
    </w:p>
    <w:p w:rsidR="004641C5" w:rsidRPr="009031E4" w:rsidRDefault="004641C5" w:rsidP="00C64999">
      <w:pPr>
        <w:widowControl/>
        <w:numPr>
          <w:ilvl w:val="0"/>
          <w:numId w:val="29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Sposób opracowania przedmiotu umowy:</w:t>
      </w:r>
    </w:p>
    <w:p w:rsidR="004641C5" w:rsidRPr="009031E4" w:rsidRDefault="004641C5" w:rsidP="00C6499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formie wydruków, powinno spełniać następujące wymagania: </w:t>
      </w:r>
    </w:p>
    <w:p w:rsidR="004641C5" w:rsidRPr="009031E4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należy stosować czcionkę Times New Roman 12 pkt, marginesy 2,5 cm oraz  margines na oprawę dodatkowo 0,5 cm; </w:t>
      </w:r>
    </w:p>
    <w:p w:rsidR="004641C5" w:rsidRPr="009031E4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format dokumentacji: A4; </w:t>
      </w:r>
    </w:p>
    <w:p w:rsidR="00F424B3" w:rsidRPr="009031E4" w:rsidRDefault="00F424B3" w:rsidP="00F424B3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wydruk dwustronny, dopuszcza się wydruk jednostronny pojedynczych stron, np. w przypadku drukowania obrazów na dużej powierzchni strony;</w:t>
      </w:r>
    </w:p>
    <w:p w:rsidR="004641C5" w:rsidRPr="009031E4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sporządzić w języku polskim;</w:t>
      </w:r>
    </w:p>
    <w:p w:rsidR="004641C5" w:rsidRPr="009031E4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przedłożyć w trzech jednakowych egzemplarzach oprawionych w zieloną twardą oprawę, w sposób uniemożliwiający wydostawanie się kartek, trwale podpisan</w:t>
      </w:r>
      <w:r w:rsidR="008259A4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ą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z </w:t>
      </w:r>
      <w:r w:rsidR="006B640B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grzbiecie i z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przodu (wygrawerowany napis): „Uzupełnienie stanu wiedzy – Dolina Noteci PLH300004 (201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-202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)”</w:t>
      </w:r>
      <w:r w:rsidR="008259A4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9031E4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wydruki cyfrowych map tematycznych w formacie A4 lub A3 z zachowaniem odpowiedniej skali;</w:t>
      </w:r>
    </w:p>
    <w:p w:rsidR="004641C5" w:rsidRPr="009031E4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dokumentację należy opatrzyć logotypami zgodnie z „Zasadami promocji</w:t>
      </w:r>
      <w:r w:rsidR="0014528B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</w:t>
      </w:r>
      <w:bookmarkStart w:id="6" w:name="_Hlk502825906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załączniku </w:t>
      </w:r>
      <w:r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bookmarkEnd w:id="6"/>
      <w:r w:rsidR="003E6425"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8 </w:t>
      </w:r>
      <w:r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F05F56"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SIWZ</w:t>
      </w:r>
      <w:r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</w:p>
    <w:p w:rsidR="004641C5" w:rsidRPr="009031E4" w:rsidRDefault="004641C5" w:rsidP="00894013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na stronie technicznej (druga strona strony tytułowej) dokumentacji należy umieścić logotypy (w kolorze) Programu Operacyjnego Infrastruktura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  <w:t>i Środowisko, Generalnej Dyrekcji Ochrony Środowiska, Regionalnej Dyrekcji Ochrony Środowiska w Bydgoszczy oraz Unii Europejskiej, zgodnie</w:t>
      </w:r>
      <w:r w:rsidR="0089401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ww. „Zasadami promocji i stosowania logotypów” zawartymi</w:t>
      </w:r>
      <w:r w:rsidR="0089401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</w:t>
      </w:r>
      <w:r w:rsidR="00F05F56"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nr </w:t>
      </w:r>
      <w:r w:rsid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="00F05F56"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SIWZ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informację o źródle finansowania</w:t>
      </w:r>
      <w:r w:rsidR="0089401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brzmieniu: </w:t>
      </w:r>
    </w:p>
    <w:p w:rsidR="004641C5" w:rsidRPr="009031E4" w:rsidRDefault="004641C5" w:rsidP="0089401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9031E4" w:rsidRDefault="004641C5" w:rsidP="0089401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9031E4" w:rsidRDefault="004641C5" w:rsidP="0089401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9031E4" w:rsidRDefault="004641C5" w:rsidP="00C64999">
      <w:pPr>
        <w:widowControl/>
        <w:numPr>
          <w:ilvl w:val="0"/>
          <w:numId w:val="31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Opracowanie w wersji elektronicznej, powinno zawierać: </w:t>
      </w:r>
    </w:p>
    <w:p w:rsidR="00F05F56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cyfrowe warstwy informacyjne dokumentujące rozmieszczenie zinwentaryzowanych przedmiotów ochrony, lokalizację wyznaczonych punktów badawczych,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zdjęć fitosocjologicznych, wyznaczone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powierzchnie/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transekty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prowadzenia badań monitoringowych, lokalizację zagrożeń i działań ochronnych, sporządzone w oparciu o mapy państwowego zasobu geodezyjnego i kartograﬁcznego. Wymagania:</w:t>
      </w:r>
    </w:p>
    <w:p w:rsidR="00F05F56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zapewniona czytelność treści map;</w:t>
      </w:r>
    </w:p>
    <w:p w:rsidR="00F05F56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skala map 1:10 000 lub 1:25 000;</w:t>
      </w:r>
    </w:p>
    <w:p w:rsidR="00F05F56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eksport map tematycznych jako raster i zapis ich w formacie PDF wraz</w:t>
      </w:r>
    </w:p>
    <w:p w:rsidR="00F05F56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 informacją o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georeferencji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F05F56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•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ab/>
        <w:t>układ współrzędnych PL-1992 (EPSG: 2180):</w:t>
      </w:r>
    </w:p>
    <w:p w:rsidR="004641C5" w:rsidRPr="009031E4" w:rsidRDefault="004641C5" w:rsidP="00FF302A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elektroniczną wersję opracowania tekstowego (DOC lub DOCX i PDF); </w:t>
      </w:r>
    </w:p>
    <w:p w:rsidR="00FF302A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dokumentację fotograficzną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(jednoznacznie opisaną, umożliwiającą identyfikację poszczególnych punktów i </w:t>
      </w:r>
      <w:proofErr w:type="spellStart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transektów</w:t>
      </w:r>
      <w:proofErr w:type="spellEnd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badawczych) 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– nie mniej niż 1 fotografię każdego zinwentaryzowanego płatu siedliska i pun</w:t>
      </w:r>
      <w:r w:rsidR="00B7421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tu badawczego, dokumentację fotograficzną znalezionych śl</w:t>
      </w:r>
      <w:r w:rsidR="0089401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adów i tropów wraz z ich opisem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przypisaniem do punktów badawczych;</w:t>
      </w:r>
    </w:p>
    <w:p w:rsidR="00FF302A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analizowane dokumenty planistyczne, </w:t>
      </w:r>
      <w:r w:rsidR="00460AD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plany urządzenia lasu</w:t>
      </w:r>
      <w:r w:rsidR="002A599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</w:t>
      </w:r>
      <w:r w:rsidR="00460AD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uproszczone plany urządzenia lasu</w:t>
      </w:r>
      <w:r w:rsidR="00AA622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itd.</w:t>
      </w:r>
      <w:r w:rsidR="00BB436F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;</w:t>
      </w:r>
    </w:p>
    <w:p w:rsidR="004641C5" w:rsidRPr="009031E4" w:rsidRDefault="00F05F56" w:rsidP="00F05F56">
      <w:pPr>
        <w:widowControl/>
        <w:suppressAutoHyphens w:val="0"/>
        <w:autoSpaceDN/>
        <w:ind w:left="1637"/>
        <w:jc w:val="both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opakowaniach płyt CD/DVD należy umieścić 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u w:val="single"/>
          <w:lang w:eastAsia="ar-SA"/>
        </w:rPr>
        <w:t>l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ogotypy (w kolorze) Programu Operacyjnego Infrastruktura i Środowisko, Generalnej Dyrekcji Ochrony Środowiska, Regionalnej Dyrekcji Ochrony Środowiska</w:t>
      </w:r>
      <w:r w:rsidR="00775AC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Bydgoszczy oraz Unii Europejskiej, zgodnie z „Zasadami promocji</w:t>
      </w:r>
      <w:r w:rsidR="00775AC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i stosowania logotypów” zawartymi w </w:t>
      </w:r>
      <w:r w:rsidR="004641C5"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załączniku nr </w:t>
      </w:r>
      <w:r w:rsidR="003E6425"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8</w:t>
      </w:r>
      <w:r w:rsidRPr="003E6425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do SIWZ</w:t>
      </w:r>
      <w:r w:rsidR="004641C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oraz informację o źródle finansowania w brzmieniu: </w:t>
      </w:r>
    </w:p>
    <w:p w:rsidR="004641C5" w:rsidRPr="009031E4" w:rsidRDefault="004641C5" w:rsidP="0089401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„Dofinansowano przez Unię Europejską</w:t>
      </w:r>
    </w:p>
    <w:p w:rsidR="004641C5" w:rsidRPr="009031E4" w:rsidRDefault="004641C5" w:rsidP="0089401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ze środków Funduszu Spójności</w:t>
      </w:r>
    </w:p>
    <w:p w:rsidR="004641C5" w:rsidRPr="009031E4" w:rsidRDefault="004641C5" w:rsidP="00894013">
      <w:pPr>
        <w:widowControl/>
        <w:suppressAutoHyphens w:val="0"/>
        <w:autoSpaceDN/>
        <w:ind w:left="1560"/>
        <w:jc w:val="center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i/>
          <w:kern w:val="0"/>
          <w:sz w:val="24"/>
          <w:szCs w:val="24"/>
          <w:lang w:eastAsia="ar-SA"/>
        </w:rPr>
        <w:t>w ramach Programu Operacyjnego Infrastruktura i Środowisko 2014-2020”</w:t>
      </w:r>
      <w:r w:rsidR="00BB436F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FF302A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uzyska we własnym zakresie wszelkie wymagane zezwolenia związane</w:t>
      </w:r>
      <w:r w:rsidR="0014528B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realizowanymi pracami i pokryje związane z ich uzyskaniem koszty.</w:t>
      </w: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zobowiązany jest do udzielania bieżących informacji odnośnie zakresu zrealizowanych i planowanych do realizacji prac nie później niż w terminie 7 dni od daty otrzymania zapytania, uczestnictwa w spotkaniach dyskusyjnych</w:t>
      </w:r>
      <w:r w:rsidR="00143AA2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, konsultacyjnych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(w szczególności zapewnienia udziału właściwych ekspertów)</w:t>
      </w:r>
      <w:r w:rsidR="0035127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na wniosek Zamawiającego umożliwienia bezpośredniej kontroli prowadzonych prac terenowych.</w:t>
      </w:r>
    </w:p>
    <w:p w:rsidR="004A5106" w:rsidRPr="009031E4" w:rsidRDefault="004A5106" w:rsidP="004A5106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związku z 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planowanymi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przez Zamawiającego spotkaniami dyskusyjnymi, </w:t>
      </w:r>
      <w:r w:rsidR="00143AA2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konsultacyjnymi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:</w:t>
      </w:r>
    </w:p>
    <w:p w:rsidR="004A5106" w:rsidRPr="009031E4" w:rsidRDefault="004A5106" w:rsidP="004A510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 najmniej 30 dni przed terminem spotkania </w:t>
      </w:r>
      <w:r w:rsidR="00143AA2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dyskusyjnego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przedłoży Zamawiającemu </w:t>
      </w:r>
      <w:r w:rsidR="00C231D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zweryfikowany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wykaz osób i podmiotów prowadzący</w:t>
      </w:r>
      <w:r w:rsidR="00F403F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ch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działalność w obrębie siedlisk przyrodniczych i</w:t>
      </w:r>
      <w:r w:rsidR="00CB2D8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siedlisk gatunków, dla których ochrony wyznaczono obszar Natura 2000. </w:t>
      </w:r>
      <w:r w:rsidR="00C231D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Wstępny wykaz osób i t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ermin spotkania zostanie uprzednio wyznaczony przez Zamawiającego. </w:t>
      </w:r>
    </w:p>
    <w:p w:rsidR="004A5106" w:rsidRPr="009031E4" w:rsidRDefault="004A5106" w:rsidP="004A510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16429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</w:t>
      </w:r>
      <w:r w:rsidR="000C6E92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jest zobowiązany do uczestnictwa w spotkaniach oraz </w:t>
      </w:r>
      <w:r w:rsidR="0016429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zapewni</w:t>
      </w:r>
      <w:r w:rsidR="000C6E92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enia</w:t>
      </w:r>
      <w:r w:rsidR="0016429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rzedstawieni</w:t>
      </w:r>
      <w:r w:rsidR="00F855B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przez </w:t>
      </w:r>
      <w:r w:rsidR="00442E1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e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kspertów </w:t>
      </w:r>
      <w:r w:rsidR="00F855B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czasie spotkań</w:t>
      </w:r>
      <w:r w:rsidR="004F164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wyników inwentaryzacji wraz z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lastRenderedPageBreak/>
        <w:t>określonymi zagrożeniami, celami działań ochronnych</w:t>
      </w:r>
      <w:r w:rsidR="00F855B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działaniami ochronnymi (m.in. w formie prezentacji).</w:t>
      </w:r>
    </w:p>
    <w:p w:rsidR="004A5106" w:rsidRPr="009031E4" w:rsidRDefault="004A5106" w:rsidP="004A510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- 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c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 najmniej 7 dni roboczych przed spotkaniem </w:t>
      </w:r>
      <w:r w:rsidR="001B28E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dyskusyjnym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przedłoży Zamawiającemu projekt prezentacji do akceptacji wraz ze wstępnymi materiałami</w:t>
      </w:r>
      <w:r w:rsidR="00775AC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zakresie zagrożeń, celów działań oraz działań ochronnych proponowanych do realizacji</w:t>
      </w:r>
      <w:r w:rsidR="00C522B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obszarze Natura 2000 objętym inwentaryzacją.</w:t>
      </w:r>
    </w:p>
    <w:p w:rsidR="004A5106" w:rsidRPr="009031E4" w:rsidRDefault="004A5106" w:rsidP="004A510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- Wykonawca sporządzi protokoły ze spotkań, zestawienie uwag i wniosków wraz</w:t>
      </w:r>
      <w:r w:rsidR="00775AC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  ustosunkowaniem się do nich, które załączy do dokumentacji.</w:t>
      </w: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zastrzega sobie prawo kontroli sposobu realizacji prac objętych umową, </w:t>
      </w:r>
      <w:r w:rsidR="0014528B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szczególności prac terenowych oraz do przekazywania uwag i wniosków na każdym etapie w trakcie realizacji zadania.</w:t>
      </w: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jest zobowiązany do przeprowadzenia w </w:t>
      </w:r>
      <w:r w:rsidR="00C522B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201</w:t>
      </w:r>
      <w:r w:rsidR="00D6189F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="00C522B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58469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roku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inwentaryzacji</w:t>
      </w:r>
      <w:r w:rsidR="00584697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maksymalnym możliwym zakresie, a w przypadku braku odpowiednich warunków fenologicznych - do jej uzupełnienia w 20</w:t>
      </w:r>
      <w:r w:rsidR="0035127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 </w:t>
      </w: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Termin realizacji zamówienia (sporządzenia dokumentacji): </w:t>
      </w:r>
    </w:p>
    <w:p w:rsidR="00A25E5C" w:rsidRPr="009031E4" w:rsidRDefault="00A25E5C" w:rsidP="00A25E5C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a) Etap I (wyniki prac za 2019 r.): 15 listopada 2019 r.;</w:t>
      </w:r>
    </w:p>
    <w:p w:rsidR="00A25E5C" w:rsidRPr="009031E4" w:rsidRDefault="00A25E5C" w:rsidP="00A25E5C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b) Etap II (dokumentacja ostateczna): 10 lutego 2021 r.</w:t>
      </w:r>
    </w:p>
    <w:p w:rsidR="004641C5" w:rsidRPr="009031E4" w:rsidRDefault="004641C5" w:rsidP="00C64999">
      <w:pPr>
        <w:widowControl/>
        <w:numPr>
          <w:ilvl w:val="0"/>
          <w:numId w:val="27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Harmonogram prac: </w:t>
      </w:r>
    </w:p>
    <w:p w:rsidR="004641C5" w:rsidRPr="009031E4" w:rsidRDefault="004641C5" w:rsidP="00C64999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 podpisaniu umowy (w terminie wyznaczonym przez Zamawiającego) odbędzie się spotkanie organizacyjne Zamawiającego z Wykonawcą</w:t>
      </w:r>
      <w:r w:rsidR="000066F5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br/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siedzibie Regionalnej Dyrekcji Ochrony Środowiska w Bydgoszczy, podczas spotkania zostaną omówione założenia do dokumentacji</w:t>
      </w:r>
      <w:r w:rsidR="005E2D8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0D5096">
      <w:pPr>
        <w:widowControl/>
        <w:numPr>
          <w:ilvl w:val="0"/>
          <w:numId w:val="32"/>
        </w:numPr>
        <w:suppressAutoHyphens w:val="0"/>
        <w:autoSpaceDN/>
        <w:ind w:left="1412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ciągu 14 dni od podpisania umowy Wykonawca przedstawi 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amawiającemu harmonogram  prac terenowych (prowadzonych od momentu podpisania umowy oraz planowanych do realizacji w 201</w:t>
      </w:r>
      <w:r w:rsidR="001C469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9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1E2D4E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roku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oraz zakres badań planowanych do uzupełn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ien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ia w 20</w:t>
      </w:r>
      <w:r w:rsidR="001C469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20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r.) objętych przedmiotem zamówienia do zatwierdzenia</w:t>
      </w:r>
      <w:r w:rsidR="005E2D8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9031E4" w:rsidRDefault="00F8064F" w:rsidP="000D5096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Wykonawca przedłoży wstępne wyniki </w:t>
      </w:r>
      <w:r w:rsidR="00A25E5C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(Etap I),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potwierdzające wykonanie badań terenowych</w:t>
      </w:r>
      <w:r w:rsidR="005449ED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w okresie od podpisania umowy do 20 września 2019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tj. karty ocen, dane GIS z lokalizacją zinwentaryzowanych płatów siedlisk oraz stanowisk gatunków oraz harmonogram planowanych do realizacji </w:t>
      </w:r>
      <w:r w:rsidR="005119E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dodatkowych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prac terenowych</w:t>
      </w:r>
      <w:r w:rsidR="00A25E5C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,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wersji elektronicznej i papierowej – w jednym egzemplarzu do: </w:t>
      </w:r>
      <w:r w:rsidR="005119E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7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października 2019 r</w:t>
      </w:r>
      <w:r w:rsidR="00EA5789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F35B7E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Zamawiający przedstawi uwagi do otrzymanej dokumentacji </w:t>
      </w:r>
      <w:r w:rsidR="00A25E5C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(Etap I)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– </w:t>
      </w:r>
      <w:r w:rsidR="00F05F56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ciągu 10 dni od dnia jej otrzymania</w:t>
      </w:r>
      <w:r w:rsidR="00A25E5C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5119E8" w:rsidRPr="009031E4" w:rsidRDefault="005119E8" w:rsidP="00F35B7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Zamawiający zastrzega sobie możliwość organizacji spotkania konsultacyjnego  (w terminie 24 - 30 października 20</w:t>
      </w:r>
      <w:r w:rsidR="00B8036A" w:rsidRPr="009031E4">
        <w:rPr>
          <w:rFonts w:ascii="Times New Roman" w:hAnsi="Times New Roman"/>
          <w:kern w:val="0"/>
          <w:sz w:val="24"/>
          <w:szCs w:val="24"/>
          <w:lang w:eastAsia="ar-SA"/>
        </w:rPr>
        <w:t>19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r.) na którym zostaną omówione przez Wykonawcę zapisy przedstawionej dokumentacji </w:t>
      </w:r>
      <w:r w:rsidR="00A25E5C"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(Etap I) 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oraz uwagi Zamawiającego, w szczególności przy obecności ekspertów wykonujących badania terenowe.</w:t>
      </w:r>
    </w:p>
    <w:p w:rsidR="004641C5" w:rsidRPr="009031E4" w:rsidRDefault="004641C5" w:rsidP="00F35B7E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dnia </w:t>
      </w:r>
      <w:r w:rsidR="00023DEA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15</w:t>
      </w:r>
      <w:r w:rsidR="00F8064F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listopada 2019 r.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="00A25E5C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ykonawca przedłoży ostateczną wersję</w:t>
      </w:r>
      <w:r w:rsidR="00D660BB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dokumentacji </w:t>
      </w:r>
      <w:r w:rsidR="00A25E5C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(Etap I)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 wersji papierowej i elektronicznej wraz z załącznikami.</w:t>
      </w:r>
    </w:p>
    <w:p w:rsidR="005119E8" w:rsidRPr="009031E4" w:rsidRDefault="00A25E5C" w:rsidP="00A25E5C">
      <w:pPr>
        <w:pStyle w:val="Akapitzlist"/>
        <w:numPr>
          <w:ilvl w:val="0"/>
          <w:numId w:val="32"/>
        </w:numPr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>Odbiór prac (Etap I) nastąpi do 7 dni od daty otrzymania kompletnej dokumentacji</w:t>
      </w:r>
      <w:r w:rsidR="005119E8" w:rsidRPr="009031E4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C231D7" w:rsidRPr="009031E4" w:rsidRDefault="00C231D7" w:rsidP="00F35B7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lastRenderedPageBreak/>
        <w:t>Zamawiający zastrzega sobie możliwość kontroli w terenie w okresie czerwiec – wrzesień 2020 r. wyników badań przeprowadzonych w 201</w:t>
      </w:r>
      <w:r w:rsidR="00EE0169" w:rsidRPr="009031E4">
        <w:rPr>
          <w:rFonts w:ascii="Times New Roman" w:hAnsi="Times New Roman"/>
          <w:kern w:val="0"/>
          <w:sz w:val="24"/>
          <w:szCs w:val="24"/>
          <w:lang w:eastAsia="ar-SA"/>
        </w:rPr>
        <w:t>9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r., w której zobowiązany jest uczestniczyć w szczególności ekspert wykonujący te badania. Ewentualna kontrola zostanie wykonana w dniach wyznaczonych przez Zamawiającego.</w:t>
      </w:r>
    </w:p>
    <w:p w:rsidR="00C231D7" w:rsidRPr="009031E4" w:rsidRDefault="00C231D7" w:rsidP="00F35B7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zobowiązany jest do </w:t>
      </w:r>
      <w:r w:rsidR="000E10B0" w:rsidRPr="009031E4">
        <w:rPr>
          <w:rFonts w:ascii="Times New Roman" w:hAnsi="Times New Roman"/>
          <w:kern w:val="0"/>
          <w:sz w:val="24"/>
          <w:szCs w:val="24"/>
          <w:lang w:eastAsia="ar-SA"/>
        </w:rPr>
        <w:t>uczestnictwa w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spotkani</w:t>
      </w:r>
      <w:r w:rsidR="000E10B0" w:rsidRPr="009031E4">
        <w:rPr>
          <w:rFonts w:ascii="Times New Roman" w:hAnsi="Times New Roman"/>
          <w:kern w:val="0"/>
          <w:sz w:val="24"/>
          <w:szCs w:val="24"/>
          <w:lang w:eastAsia="ar-SA"/>
        </w:rPr>
        <w:t>u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="0092608D" w:rsidRPr="009031E4">
        <w:rPr>
          <w:rFonts w:ascii="Times New Roman" w:hAnsi="Times New Roman"/>
          <w:kern w:val="0"/>
          <w:sz w:val="24"/>
          <w:szCs w:val="24"/>
          <w:lang w:eastAsia="ar-SA"/>
        </w:rPr>
        <w:t>dyskusyjn</w:t>
      </w:r>
      <w:r w:rsidR="000E10B0" w:rsidRPr="009031E4">
        <w:rPr>
          <w:rFonts w:ascii="Times New Roman" w:hAnsi="Times New Roman"/>
          <w:kern w:val="0"/>
          <w:sz w:val="24"/>
          <w:szCs w:val="24"/>
          <w:lang w:eastAsia="ar-SA"/>
        </w:rPr>
        <w:t>ym organizowanym przez Zamawiającego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w terminie 1 </w:t>
      </w:r>
      <w:r w:rsidR="00F32D10"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– 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31 października 20</w:t>
      </w:r>
      <w:r w:rsidR="0095464E" w:rsidRPr="009031E4">
        <w:rPr>
          <w:rFonts w:ascii="Times New Roman" w:hAnsi="Times New Roman"/>
          <w:kern w:val="0"/>
          <w:sz w:val="24"/>
          <w:szCs w:val="24"/>
          <w:lang w:eastAsia="ar-SA"/>
        </w:rPr>
        <w:t>20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r</w:t>
      </w:r>
      <w:r w:rsidR="00642958" w:rsidRPr="009031E4">
        <w:rPr>
          <w:rFonts w:ascii="Times New Roman" w:hAnsi="Times New Roman"/>
          <w:kern w:val="0"/>
          <w:sz w:val="24"/>
          <w:szCs w:val="24"/>
          <w:lang w:eastAsia="ar-SA"/>
        </w:rPr>
        <w:t>.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z zainteresowanymi osobami i podmiotami prowadzącym działalność w obrębie siedlisk</w:t>
      </w:r>
      <w:r w:rsidR="006C1A36"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przyrodniczych i siedlisk gatunków, dla których ochrony wyznaczono obszar Natura 2000.</w:t>
      </w:r>
    </w:p>
    <w:p w:rsidR="00A25E5C" w:rsidRPr="009031E4" w:rsidRDefault="00A25E5C" w:rsidP="00A25E5C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Wykonawca przedłoży projekt dokumentacji ostatecznej (Etap II) w wersji elektronicznej i papierowej – w jednym egzemplarzu do dnia 29 listopada 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br/>
        <w:t>2020 r.;</w:t>
      </w:r>
    </w:p>
    <w:p w:rsidR="004641C5" w:rsidRPr="009031E4" w:rsidRDefault="00A25E5C" w:rsidP="00A25E5C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kern w:val="0"/>
          <w:sz w:val="24"/>
          <w:szCs w:val="24"/>
          <w:lang w:eastAsia="ar-SA"/>
        </w:rPr>
      </w:pP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Zamawiający przedstawi uwagi do otrzymanej dokumentacji – w ciągu 14 dni od dnia jej otrzymania.</w:t>
      </w:r>
    </w:p>
    <w:p w:rsidR="004641C5" w:rsidRPr="009031E4" w:rsidRDefault="004A5106" w:rsidP="00F35B7E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wniosek Zamawiającego (w przypadku stwierdzenia takiej potrzeby) Wykonawca będzie zobowiązany </w:t>
      </w:r>
      <w:bookmarkStart w:id="7" w:name="_Hlk504038364"/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uczestnictwa w kolejnym spotkaniu </w:t>
      </w:r>
      <w:r w:rsidR="00394FEF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konsultacyjnym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w </w:t>
      </w:r>
      <w:r w:rsidR="003D387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styczniu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202</w:t>
      </w:r>
      <w:r w:rsidR="005D35B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</w:t>
      </w:r>
      <w:bookmarkEnd w:id="7"/>
      <w:r w:rsidR="00AC33F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(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na którym zostaną omówione przez Wykonawcę zapisy dokumentacji oraz </w:t>
      </w:r>
      <w:r w:rsidR="003D387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sposób rozpatrzenia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uwag</w:t>
      </w:r>
      <w:r w:rsidR="0031330A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Zamawiającego, w szczególności przy obecności ekspertów oraz innych osób</w:t>
      </w:r>
      <w:r w:rsidR="003D387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i podmiotów których zapisy będą dotyczyć</w:t>
      </w:r>
      <w:r w:rsidR="00DC249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)</w:t>
      </w:r>
      <w:r w:rsidR="005E2D83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0D5096">
      <w:pPr>
        <w:widowControl/>
        <w:numPr>
          <w:ilvl w:val="0"/>
          <w:numId w:val="32"/>
        </w:numPr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Wykonawca ustosunkuje się do uwag</w:t>
      </w:r>
      <w:r w:rsidR="003D387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Zamawiającego oraz ustaleń na </w:t>
      </w:r>
      <w:r w:rsidR="00DC249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ewentualnym </w:t>
      </w:r>
      <w:r w:rsidR="003D387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spotkaniu dyskusyjnym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i dostarczy dokumentację </w:t>
      </w:r>
      <w:r w:rsidR="00DC2490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ostateczną (Etap II) 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do </w:t>
      </w:r>
      <w:r w:rsidR="002C4B84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dnia </w:t>
      </w:r>
      <w:r w:rsidR="003D387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1</w:t>
      </w:r>
      <w:r w:rsidR="00B114B2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>0</w:t>
      </w:r>
      <w:r w:rsidR="003D3878"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lutego 2021</w:t>
      </w: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 r. </w:t>
      </w:r>
    </w:p>
    <w:p w:rsidR="00DC2490" w:rsidRPr="009031E4" w:rsidRDefault="00DC2490" w:rsidP="00DC2490">
      <w:pPr>
        <w:pStyle w:val="Akapitzlist"/>
        <w:numPr>
          <w:ilvl w:val="0"/>
          <w:numId w:val="32"/>
        </w:numPr>
        <w:autoSpaceDN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>Odbiór prac (Etap II) nastąpi do 7 dni od daty otrzymania kompletnej dokumentacji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>.</w:t>
      </w:r>
    </w:p>
    <w:p w:rsidR="004641C5" w:rsidRPr="009031E4" w:rsidRDefault="004641C5" w:rsidP="000D5096">
      <w:pPr>
        <w:widowControl/>
        <w:suppressAutoHyphens w:val="0"/>
        <w:autoSpaceDN/>
        <w:ind w:left="1413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DC2490" w:rsidRPr="009031E4" w:rsidRDefault="00DC2490" w:rsidP="00DC2490">
      <w:pPr>
        <w:pStyle w:val="Akapitzlist"/>
        <w:numPr>
          <w:ilvl w:val="0"/>
          <w:numId w:val="27"/>
        </w:numPr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 xml:space="preserve">Zamawiający udostępnia dokumentację do planu zadań ochronnych dla obszaru Natura 2000 </w:t>
      </w:r>
      <w:r w:rsidRPr="009031E4">
        <w:rPr>
          <w:rFonts w:ascii="Times New Roman" w:hAnsi="Times New Roman"/>
          <w:kern w:val="0"/>
          <w:sz w:val="24"/>
          <w:szCs w:val="24"/>
          <w:lang w:eastAsia="ar-SA"/>
        </w:rPr>
        <w:t xml:space="preserve">Dolina Noteci PLH300004 </w:t>
      </w:r>
      <w:r w:rsidRPr="009031E4">
        <w:rPr>
          <w:rFonts w:ascii="Times New Roman" w:hAnsi="Times New Roman"/>
          <w:sz w:val="24"/>
          <w:szCs w:val="24"/>
        </w:rPr>
        <w:t xml:space="preserve">pod linkiem: </w:t>
      </w:r>
    </w:p>
    <w:p w:rsidR="00DC2490" w:rsidRPr="009031E4" w:rsidRDefault="00DC2490" w:rsidP="00DC2490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031E4">
        <w:rPr>
          <w:rFonts w:ascii="Times New Roman" w:hAnsi="Times New Roman"/>
          <w:sz w:val="24"/>
          <w:szCs w:val="24"/>
        </w:rPr>
        <w:t>http://public.rdos-bydgoszcz.pl/download/pzo_dn.zip</w:t>
      </w:r>
    </w:p>
    <w:p w:rsidR="004641C5" w:rsidRPr="009031E4" w:rsidRDefault="004641C5" w:rsidP="000D5096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9031E4" w:rsidRDefault="004641C5" w:rsidP="00DC2490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</w:p>
    <w:p w:rsidR="004641C5" w:rsidRPr="009031E4" w:rsidRDefault="004641C5" w:rsidP="00FF302A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</w:pPr>
      <w:r w:rsidRPr="009031E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</w:rPr>
        <w:t xml:space="preserve">Załączniki do opisu przedmiotu zamówienia: </w:t>
      </w:r>
    </w:p>
    <w:p w:rsidR="004641C5" w:rsidRPr="009031E4" w:rsidRDefault="004641C5" w:rsidP="00FF302A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</w:rPr>
      </w:pPr>
    </w:p>
    <w:p w:rsidR="00DC2490" w:rsidRPr="009031E4" w:rsidRDefault="00DC2490" w:rsidP="00FF302A">
      <w:pPr>
        <w:widowControl/>
        <w:suppressAutoHyphens w:val="0"/>
        <w:autoSpaceDN/>
        <w:ind w:left="720"/>
        <w:jc w:val="both"/>
        <w:textAlignment w:val="auto"/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</w:pPr>
      <w:r w:rsidRPr="009031E4">
        <w:rPr>
          <w:rFonts w:ascii="Times New Roman" w:eastAsia="Calibri" w:hAnsi="Times New Roman" w:cs="Times New Roman"/>
          <w:kern w:val="0"/>
          <w:sz w:val="24"/>
          <w:szCs w:val="24"/>
          <w:lang w:eastAsia="ar-SA"/>
        </w:rPr>
        <w:t xml:space="preserve">Załącznik nr 1 – Szablon dokumentacji dot. uzupełnienia stanu wiedzy o przedmiotach ochrony w obszarze Natura 2000 Dolina Noteci PLH300004 </w:t>
      </w:r>
    </w:p>
    <w:p w:rsidR="003D2ECD" w:rsidRPr="009031E4" w:rsidRDefault="003D2ECD" w:rsidP="00FF302A">
      <w:pPr>
        <w:rPr>
          <w:rFonts w:ascii="Times New Roman" w:hAnsi="Times New Roman" w:cs="Times New Roman"/>
          <w:sz w:val="24"/>
          <w:szCs w:val="24"/>
        </w:rPr>
      </w:pPr>
    </w:p>
    <w:p w:rsidR="004641C5" w:rsidRPr="009031E4" w:rsidRDefault="004641C5" w:rsidP="00FF302A">
      <w:pPr>
        <w:rPr>
          <w:rFonts w:ascii="Times New Roman" w:hAnsi="Times New Roman" w:cs="Times New Roman"/>
          <w:sz w:val="24"/>
          <w:szCs w:val="24"/>
        </w:rPr>
      </w:pPr>
    </w:p>
    <w:sectPr w:rsidR="004641C5" w:rsidRPr="009031E4" w:rsidSect="007317F5">
      <w:footerReference w:type="default" r:id="rId10"/>
      <w:headerReference w:type="first" r:id="rId11"/>
      <w:footerReference w:type="first" r:id="rId12"/>
      <w:pgSz w:w="11906" w:h="16838"/>
      <w:pgMar w:top="1417" w:right="1417" w:bottom="766" w:left="141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7A2" w:rsidRDefault="006877A2">
      <w:pPr>
        <w:spacing w:line="240" w:lineRule="auto"/>
      </w:pPr>
      <w:r>
        <w:separator/>
      </w:r>
    </w:p>
  </w:endnote>
  <w:endnote w:type="continuationSeparator" w:id="0">
    <w:p w:rsidR="006877A2" w:rsidRDefault="00687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Stopka"/>
    </w:pPr>
    <w:r>
      <w:rPr>
        <w:noProof/>
        <w:lang w:eastAsia="pl-PL"/>
      </w:rPr>
      <w:drawing>
        <wp:inline distT="0" distB="0" distL="0" distR="0">
          <wp:extent cx="5581800" cy="1009799"/>
          <wp:effectExtent l="0" t="0" r="0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800" cy="100979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5760720" cy="566280"/>
          <wp:effectExtent l="0" t="0" r="0" b="5220"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6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7A2" w:rsidRDefault="006877A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6877A2" w:rsidRDefault="006877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7C" w:rsidRDefault="00FC316F">
    <w:pPr>
      <w:pStyle w:val="Nagwek"/>
      <w:ind w:hanging="426"/>
    </w:pPr>
    <w:r>
      <w:rPr>
        <w:noProof/>
        <w:lang w:eastAsia="pl-PL"/>
      </w:rPr>
      <w:drawing>
        <wp:inline distT="0" distB="0" distL="0" distR="0">
          <wp:extent cx="4905360" cy="942839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60" cy="9428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C72F40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77462D3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/>
        <w:iCs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13" w:hanging="420"/>
      </w:pPr>
      <w:rPr>
        <w:rFonts w:ascii="Times New Roman" w:hAnsi="Times New Roman" w:cs="Times New Roman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00000008"/>
    <w:multiLevelType w:val="multilevel"/>
    <w:tmpl w:val="D220A2B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kern w:val="1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  <w:kern w:val="1"/>
      </w:rPr>
    </w:lvl>
    <w:lvl w:ilvl="1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4668"/>
        </w:tabs>
        <w:ind w:left="466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28"/>
        </w:tabs>
        <w:ind w:left="5028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F112D04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i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9" w15:restartNumberingAfterBreak="0">
    <w:nsid w:val="0000000B"/>
    <w:multiLevelType w:val="multilevel"/>
    <w:tmpl w:val="DA801FB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bCs/>
        <w:iCs/>
        <w:color w:val="auto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0000000C"/>
    <w:multiLevelType w:val="multilevel"/>
    <w:tmpl w:val="1FB8441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Andale Sans UI" w:hAnsi="Times New Roman" w:cs="Times New Roman"/>
        <w:iCs/>
        <w:color w:val="auto"/>
        <w:kern w:val="1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5"/>
        </w:tabs>
        <w:ind w:left="1495" w:hanging="360"/>
      </w:pPr>
      <w:rPr>
        <w:rFonts w:eastAsia="Andale Sans UI"/>
        <w:kern w:val="1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3240" w:hanging="180"/>
      </w:pPr>
      <w:rPr>
        <w:rFonts w:ascii="Symbol" w:hAnsi="Symbol" w:cs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60" w:hanging="180"/>
      </w:pPr>
    </w:lvl>
  </w:abstractNum>
  <w:abstractNum w:abstractNumId="13" w15:restartNumberingAfterBreak="0">
    <w:nsid w:val="0000000F"/>
    <w:multiLevelType w:val="multilevel"/>
    <w:tmpl w:val="5A307CC0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i w:val="0"/>
        <w:iCs w:val="0"/>
        <w:color w:val="auto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6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 w:cs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9900FF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9900FF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9900FF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9900FF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9900FF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9900FF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9900FF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9900FF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9900FF"/>
        <w:sz w:val="24"/>
        <w:szCs w:val="24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D9E2821"/>
    <w:multiLevelType w:val="multilevel"/>
    <w:tmpl w:val="843C806E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57E317A"/>
    <w:multiLevelType w:val="multilevel"/>
    <w:tmpl w:val="B30C4ECE"/>
    <w:styleLink w:val="WWNum12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9" w15:restartNumberingAfterBreak="0">
    <w:nsid w:val="16394C0D"/>
    <w:multiLevelType w:val="multilevel"/>
    <w:tmpl w:val="A1B65FD8"/>
    <w:styleLink w:val="WWNum19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167E090A"/>
    <w:multiLevelType w:val="multilevel"/>
    <w:tmpl w:val="F13641D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1F3D0CA9"/>
    <w:multiLevelType w:val="multilevel"/>
    <w:tmpl w:val="C6261686"/>
    <w:styleLink w:val="WWNum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2B3A79F1"/>
    <w:multiLevelType w:val="multilevel"/>
    <w:tmpl w:val="B02C03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2E0402F0"/>
    <w:multiLevelType w:val="multilevel"/>
    <w:tmpl w:val="B7667254"/>
    <w:styleLink w:val="WWNum15"/>
    <w:lvl w:ilvl="0">
      <w:start w:val="1"/>
      <w:numFmt w:val="lowerLetter"/>
      <w:lvlText w:val="%1)"/>
      <w:lvlJc w:val="left"/>
      <w:pPr>
        <w:ind w:left="1413" w:hanging="4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1.%2.%3."/>
      <w:lvlJc w:val="right"/>
      <w:pPr>
        <w:ind w:left="2793" w:hanging="180"/>
      </w:pPr>
    </w:lvl>
    <w:lvl w:ilvl="3">
      <w:start w:val="1"/>
      <w:numFmt w:val="decimal"/>
      <w:lvlText w:val="%1.%2.%3.%4."/>
      <w:lvlJc w:val="left"/>
      <w:pPr>
        <w:ind w:left="3513" w:hanging="360"/>
      </w:pPr>
    </w:lvl>
    <w:lvl w:ilvl="4">
      <w:start w:val="1"/>
      <w:numFmt w:val="lowerLetter"/>
      <w:lvlText w:val="%1.%2.%3.%4.%5."/>
      <w:lvlJc w:val="left"/>
      <w:pPr>
        <w:ind w:left="4233" w:hanging="360"/>
      </w:pPr>
    </w:lvl>
    <w:lvl w:ilvl="5">
      <w:start w:val="1"/>
      <w:numFmt w:val="lowerRoman"/>
      <w:lvlText w:val="%1.%2.%3.%4.%5.%6."/>
      <w:lvlJc w:val="right"/>
      <w:pPr>
        <w:ind w:left="4953" w:hanging="180"/>
      </w:pPr>
    </w:lvl>
    <w:lvl w:ilvl="6">
      <w:start w:val="1"/>
      <w:numFmt w:val="decimal"/>
      <w:lvlText w:val="%1.%2.%3.%4.%5.%6.%7."/>
      <w:lvlJc w:val="left"/>
      <w:pPr>
        <w:ind w:left="5673" w:hanging="360"/>
      </w:pPr>
    </w:lvl>
    <w:lvl w:ilvl="7">
      <w:start w:val="1"/>
      <w:numFmt w:val="lowerLetter"/>
      <w:lvlText w:val="%1.%2.%3.%4.%5.%6.%7.%8."/>
      <w:lvlJc w:val="left"/>
      <w:pPr>
        <w:ind w:left="6393" w:hanging="360"/>
      </w:pPr>
    </w:lvl>
    <w:lvl w:ilvl="8">
      <w:start w:val="1"/>
      <w:numFmt w:val="lowerRoman"/>
      <w:lvlText w:val="%1.%2.%3.%4.%5.%6.%7.%8.%9."/>
      <w:lvlJc w:val="right"/>
      <w:pPr>
        <w:ind w:left="7113" w:hanging="180"/>
      </w:pPr>
    </w:lvl>
  </w:abstractNum>
  <w:abstractNum w:abstractNumId="24" w15:restartNumberingAfterBreak="0">
    <w:nsid w:val="2E510AE1"/>
    <w:multiLevelType w:val="multilevel"/>
    <w:tmpl w:val="F14EF836"/>
    <w:styleLink w:val="WWNum25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5" w15:restartNumberingAfterBreak="0">
    <w:nsid w:val="31084697"/>
    <w:multiLevelType w:val="multilevel"/>
    <w:tmpl w:val="B656B636"/>
    <w:styleLink w:val="WWNum20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315C5972"/>
    <w:multiLevelType w:val="multilevel"/>
    <w:tmpl w:val="8876B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3B90749"/>
    <w:multiLevelType w:val="multilevel"/>
    <w:tmpl w:val="4C9436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366C1A35"/>
    <w:multiLevelType w:val="multilevel"/>
    <w:tmpl w:val="3D66D320"/>
    <w:styleLink w:val="WWNum18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9" w15:restartNumberingAfterBreak="0">
    <w:nsid w:val="376A29CC"/>
    <w:multiLevelType w:val="multilevel"/>
    <w:tmpl w:val="4F26BF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91E6FF0"/>
    <w:multiLevelType w:val="multilevel"/>
    <w:tmpl w:val="279860E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9CE44C6"/>
    <w:multiLevelType w:val="multilevel"/>
    <w:tmpl w:val="6B8AF09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3A2313B0"/>
    <w:multiLevelType w:val="hybridMultilevel"/>
    <w:tmpl w:val="18A4917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3C344B42"/>
    <w:multiLevelType w:val="multilevel"/>
    <w:tmpl w:val="DC9ABD78"/>
    <w:styleLink w:val="WWNum7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34" w15:restartNumberingAfterBreak="0">
    <w:nsid w:val="416A3981"/>
    <w:multiLevelType w:val="multilevel"/>
    <w:tmpl w:val="8E200090"/>
    <w:styleLink w:val="WWNum5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5" w15:restartNumberingAfterBreak="0">
    <w:nsid w:val="44941B7D"/>
    <w:multiLevelType w:val="multilevel"/>
    <w:tmpl w:val="9E50ED4A"/>
    <w:styleLink w:val="WWNum9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6" w15:restartNumberingAfterBreak="0">
    <w:nsid w:val="466E3681"/>
    <w:multiLevelType w:val="multilevel"/>
    <w:tmpl w:val="4AF85A7E"/>
    <w:styleLink w:val="WWNum13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numFmt w:val="bullet"/>
      <w:lvlText w:val=""/>
      <w:lvlJc w:val="left"/>
      <w:pPr>
        <w:ind w:left="360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37" w15:restartNumberingAfterBreak="0">
    <w:nsid w:val="4ABF5675"/>
    <w:multiLevelType w:val="multilevel"/>
    <w:tmpl w:val="1A12ACF6"/>
    <w:styleLink w:val="WWNum2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38" w15:restartNumberingAfterBreak="0">
    <w:nsid w:val="4ECA664A"/>
    <w:multiLevelType w:val="multilevel"/>
    <w:tmpl w:val="F4504FF6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5B865F89"/>
    <w:multiLevelType w:val="multilevel"/>
    <w:tmpl w:val="C59EC7C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63B844D5"/>
    <w:multiLevelType w:val="multilevel"/>
    <w:tmpl w:val="C444DB2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</w:rPr>
    </w:lvl>
  </w:abstractNum>
  <w:abstractNum w:abstractNumId="41" w15:restartNumberingAfterBreak="0">
    <w:nsid w:val="647B0AEA"/>
    <w:multiLevelType w:val="hybridMultilevel"/>
    <w:tmpl w:val="E8268952"/>
    <w:lvl w:ilvl="0" w:tplc="04150019">
      <w:start w:val="1"/>
      <w:numFmt w:val="lowerLetter"/>
      <w:lvlText w:val="%1.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6A78479B"/>
    <w:multiLevelType w:val="multilevel"/>
    <w:tmpl w:val="73B8CD4E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B0B5C51"/>
    <w:multiLevelType w:val="multilevel"/>
    <w:tmpl w:val="D0DC19A0"/>
    <w:styleLink w:val="WWNum1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4" w15:restartNumberingAfterBreak="0">
    <w:nsid w:val="6D871257"/>
    <w:multiLevelType w:val="multilevel"/>
    <w:tmpl w:val="3BBE6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0DE3C20"/>
    <w:multiLevelType w:val="multilevel"/>
    <w:tmpl w:val="9858D566"/>
    <w:styleLink w:val="WWNum26"/>
    <w:lvl w:ilvl="0">
      <w:start w:val="1"/>
      <w:numFmt w:val="lowerLetter"/>
      <w:lvlText w:val="%1)"/>
      <w:lvlJc w:val="left"/>
      <w:pPr>
        <w:ind w:left="2160" w:hanging="360"/>
      </w:p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6" w15:restartNumberingAfterBreak="0">
    <w:nsid w:val="72C36DB6"/>
    <w:multiLevelType w:val="multilevel"/>
    <w:tmpl w:val="7B2A86C4"/>
    <w:styleLink w:val="WWNum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7" w15:restartNumberingAfterBreak="0">
    <w:nsid w:val="7B053A56"/>
    <w:multiLevelType w:val="multilevel"/>
    <w:tmpl w:val="85384AEA"/>
    <w:styleLink w:val="WWNum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48" w15:restartNumberingAfterBreak="0">
    <w:nsid w:val="7E4571C1"/>
    <w:multiLevelType w:val="multilevel"/>
    <w:tmpl w:val="7072261C"/>
    <w:styleLink w:val="WWNum14"/>
    <w:lvl w:ilvl="0">
      <w:start w:val="1"/>
      <w:numFmt w:val="lowerLetter"/>
      <w:lvlText w:val="%1)"/>
      <w:lvlJc w:val="left"/>
      <w:pPr>
        <w:ind w:left="1637" w:hanging="360"/>
      </w:p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49" w15:restartNumberingAfterBreak="0">
    <w:nsid w:val="7F9F5183"/>
    <w:multiLevelType w:val="multilevel"/>
    <w:tmpl w:val="C1208EDE"/>
    <w:styleLink w:val="WW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47"/>
  </w:num>
  <w:num w:numId="5">
    <w:abstractNumId w:val="34"/>
  </w:num>
  <w:num w:numId="6">
    <w:abstractNumId w:val="46"/>
  </w:num>
  <w:num w:numId="7">
    <w:abstractNumId w:val="33"/>
  </w:num>
  <w:num w:numId="8">
    <w:abstractNumId w:val="17"/>
  </w:num>
  <w:num w:numId="9">
    <w:abstractNumId w:val="35"/>
  </w:num>
  <w:num w:numId="10">
    <w:abstractNumId w:val="42"/>
  </w:num>
  <w:num w:numId="11">
    <w:abstractNumId w:val="38"/>
  </w:num>
  <w:num w:numId="12">
    <w:abstractNumId w:val="18"/>
  </w:num>
  <w:num w:numId="13">
    <w:abstractNumId w:val="36"/>
  </w:num>
  <w:num w:numId="14">
    <w:abstractNumId w:val="48"/>
  </w:num>
  <w:num w:numId="15">
    <w:abstractNumId w:val="23"/>
  </w:num>
  <w:num w:numId="16">
    <w:abstractNumId w:val="31"/>
  </w:num>
  <w:num w:numId="17">
    <w:abstractNumId w:val="43"/>
  </w:num>
  <w:num w:numId="18">
    <w:abstractNumId w:val="28"/>
  </w:num>
  <w:num w:numId="19">
    <w:abstractNumId w:val="19"/>
  </w:num>
  <w:num w:numId="20">
    <w:abstractNumId w:val="25"/>
  </w:num>
  <w:num w:numId="21">
    <w:abstractNumId w:val="39"/>
  </w:num>
  <w:num w:numId="22">
    <w:abstractNumId w:val="37"/>
  </w:num>
  <w:num w:numId="23">
    <w:abstractNumId w:val="49"/>
  </w:num>
  <w:num w:numId="24">
    <w:abstractNumId w:val="21"/>
  </w:num>
  <w:num w:numId="25">
    <w:abstractNumId w:val="24"/>
  </w:num>
  <w:num w:numId="26">
    <w:abstractNumId w:val="45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29"/>
  </w:num>
  <w:num w:numId="45">
    <w:abstractNumId w:val="27"/>
  </w:num>
  <w:num w:numId="46">
    <w:abstractNumId w:val="26"/>
  </w:num>
  <w:num w:numId="47">
    <w:abstractNumId w:val="40"/>
  </w:num>
  <w:num w:numId="48">
    <w:abstractNumId w:val="32"/>
  </w:num>
  <w:num w:numId="49">
    <w:abstractNumId w:val="41"/>
  </w:num>
  <w:num w:numId="50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CD"/>
    <w:rsid w:val="00000269"/>
    <w:rsid w:val="000066F5"/>
    <w:rsid w:val="00023DEA"/>
    <w:rsid w:val="000344E6"/>
    <w:rsid w:val="000372F2"/>
    <w:rsid w:val="00040FA8"/>
    <w:rsid w:val="0004661C"/>
    <w:rsid w:val="000512C1"/>
    <w:rsid w:val="00072353"/>
    <w:rsid w:val="00076EB8"/>
    <w:rsid w:val="0009582F"/>
    <w:rsid w:val="000B1F80"/>
    <w:rsid w:val="000C6E92"/>
    <w:rsid w:val="000D5096"/>
    <w:rsid w:val="000D529D"/>
    <w:rsid w:val="000E10B0"/>
    <w:rsid w:val="000E1778"/>
    <w:rsid w:val="000F1058"/>
    <w:rsid w:val="000F46F1"/>
    <w:rsid w:val="00107F40"/>
    <w:rsid w:val="0012069E"/>
    <w:rsid w:val="00143AA2"/>
    <w:rsid w:val="0014528B"/>
    <w:rsid w:val="00164290"/>
    <w:rsid w:val="00170718"/>
    <w:rsid w:val="00175D70"/>
    <w:rsid w:val="00181030"/>
    <w:rsid w:val="001A5E94"/>
    <w:rsid w:val="001B21E1"/>
    <w:rsid w:val="001B28E3"/>
    <w:rsid w:val="001B7B98"/>
    <w:rsid w:val="001C4698"/>
    <w:rsid w:val="001D401E"/>
    <w:rsid w:val="001D5704"/>
    <w:rsid w:val="001E2D4E"/>
    <w:rsid w:val="00224B1A"/>
    <w:rsid w:val="00240F93"/>
    <w:rsid w:val="002734EF"/>
    <w:rsid w:val="002A5990"/>
    <w:rsid w:val="002C4B84"/>
    <w:rsid w:val="002C67E6"/>
    <w:rsid w:val="002D1723"/>
    <w:rsid w:val="002D3A6A"/>
    <w:rsid w:val="002F67A2"/>
    <w:rsid w:val="0031330A"/>
    <w:rsid w:val="003169E7"/>
    <w:rsid w:val="00325E3E"/>
    <w:rsid w:val="00326EE8"/>
    <w:rsid w:val="00340C9D"/>
    <w:rsid w:val="00341835"/>
    <w:rsid w:val="0035127E"/>
    <w:rsid w:val="00362351"/>
    <w:rsid w:val="00385AE4"/>
    <w:rsid w:val="003928D7"/>
    <w:rsid w:val="00394FEF"/>
    <w:rsid w:val="003A381A"/>
    <w:rsid w:val="003A668E"/>
    <w:rsid w:val="003D2ECD"/>
    <w:rsid w:val="003D3878"/>
    <w:rsid w:val="003E6425"/>
    <w:rsid w:val="003F1057"/>
    <w:rsid w:val="00404E65"/>
    <w:rsid w:val="00422ADF"/>
    <w:rsid w:val="004240DB"/>
    <w:rsid w:val="00441F1C"/>
    <w:rsid w:val="00442E16"/>
    <w:rsid w:val="00445C8B"/>
    <w:rsid w:val="00446B9D"/>
    <w:rsid w:val="00460AD8"/>
    <w:rsid w:val="00462FEB"/>
    <w:rsid w:val="004638D3"/>
    <w:rsid w:val="004641C5"/>
    <w:rsid w:val="00477414"/>
    <w:rsid w:val="00483494"/>
    <w:rsid w:val="004A5106"/>
    <w:rsid w:val="004D46C3"/>
    <w:rsid w:val="004F1645"/>
    <w:rsid w:val="005119E8"/>
    <w:rsid w:val="00514E03"/>
    <w:rsid w:val="0052062D"/>
    <w:rsid w:val="00525602"/>
    <w:rsid w:val="005449ED"/>
    <w:rsid w:val="0055447C"/>
    <w:rsid w:val="00561E44"/>
    <w:rsid w:val="005669ED"/>
    <w:rsid w:val="00584697"/>
    <w:rsid w:val="00596DC9"/>
    <w:rsid w:val="005B2E9D"/>
    <w:rsid w:val="005B4509"/>
    <w:rsid w:val="005C510F"/>
    <w:rsid w:val="005C5806"/>
    <w:rsid w:val="005D35B0"/>
    <w:rsid w:val="005D5DB3"/>
    <w:rsid w:val="005E2D83"/>
    <w:rsid w:val="006179B8"/>
    <w:rsid w:val="00642958"/>
    <w:rsid w:val="006536A3"/>
    <w:rsid w:val="0066651A"/>
    <w:rsid w:val="006741B4"/>
    <w:rsid w:val="006877A2"/>
    <w:rsid w:val="006931A0"/>
    <w:rsid w:val="006A110F"/>
    <w:rsid w:val="006A1804"/>
    <w:rsid w:val="006B640B"/>
    <w:rsid w:val="006B76FF"/>
    <w:rsid w:val="006C1A36"/>
    <w:rsid w:val="006D160D"/>
    <w:rsid w:val="00721994"/>
    <w:rsid w:val="007317F5"/>
    <w:rsid w:val="0073580B"/>
    <w:rsid w:val="00757D92"/>
    <w:rsid w:val="00775ACE"/>
    <w:rsid w:val="00792608"/>
    <w:rsid w:val="0079694C"/>
    <w:rsid w:val="007E30CF"/>
    <w:rsid w:val="00810EAA"/>
    <w:rsid w:val="008259A4"/>
    <w:rsid w:val="00827E59"/>
    <w:rsid w:val="0083593B"/>
    <w:rsid w:val="00843E89"/>
    <w:rsid w:val="00862277"/>
    <w:rsid w:val="00894013"/>
    <w:rsid w:val="00894243"/>
    <w:rsid w:val="00897264"/>
    <w:rsid w:val="008A65F2"/>
    <w:rsid w:val="008B67E9"/>
    <w:rsid w:val="008C07AF"/>
    <w:rsid w:val="008C0F25"/>
    <w:rsid w:val="008F00F7"/>
    <w:rsid w:val="009031E4"/>
    <w:rsid w:val="0091046A"/>
    <w:rsid w:val="009116A6"/>
    <w:rsid w:val="00923CC9"/>
    <w:rsid w:val="00925A92"/>
    <w:rsid w:val="0092608D"/>
    <w:rsid w:val="0093680B"/>
    <w:rsid w:val="0095464E"/>
    <w:rsid w:val="00970980"/>
    <w:rsid w:val="0097766F"/>
    <w:rsid w:val="00992D1F"/>
    <w:rsid w:val="009966AA"/>
    <w:rsid w:val="009A36B0"/>
    <w:rsid w:val="009A4968"/>
    <w:rsid w:val="009C4B99"/>
    <w:rsid w:val="009D3460"/>
    <w:rsid w:val="009E5D0F"/>
    <w:rsid w:val="00A14EF3"/>
    <w:rsid w:val="00A25E5C"/>
    <w:rsid w:val="00A30958"/>
    <w:rsid w:val="00A86EC7"/>
    <w:rsid w:val="00AA4A66"/>
    <w:rsid w:val="00AA6225"/>
    <w:rsid w:val="00AB0D88"/>
    <w:rsid w:val="00AB2E32"/>
    <w:rsid w:val="00AC33F0"/>
    <w:rsid w:val="00AD693D"/>
    <w:rsid w:val="00AF5D10"/>
    <w:rsid w:val="00B02393"/>
    <w:rsid w:val="00B03E2E"/>
    <w:rsid w:val="00B114B2"/>
    <w:rsid w:val="00B16B91"/>
    <w:rsid w:val="00B20A0B"/>
    <w:rsid w:val="00B250CD"/>
    <w:rsid w:val="00B47C72"/>
    <w:rsid w:val="00B74213"/>
    <w:rsid w:val="00B75758"/>
    <w:rsid w:val="00B77AB1"/>
    <w:rsid w:val="00B8036A"/>
    <w:rsid w:val="00B83F09"/>
    <w:rsid w:val="00B92271"/>
    <w:rsid w:val="00BB436F"/>
    <w:rsid w:val="00BD3AB6"/>
    <w:rsid w:val="00BE20CD"/>
    <w:rsid w:val="00BE6EC0"/>
    <w:rsid w:val="00BF2DC4"/>
    <w:rsid w:val="00BF619D"/>
    <w:rsid w:val="00C14934"/>
    <w:rsid w:val="00C20BE1"/>
    <w:rsid w:val="00C231D7"/>
    <w:rsid w:val="00C26D9B"/>
    <w:rsid w:val="00C33B0B"/>
    <w:rsid w:val="00C34352"/>
    <w:rsid w:val="00C40C8B"/>
    <w:rsid w:val="00C522B7"/>
    <w:rsid w:val="00C60CC3"/>
    <w:rsid w:val="00C62C7D"/>
    <w:rsid w:val="00C64999"/>
    <w:rsid w:val="00C77BD5"/>
    <w:rsid w:val="00C956B4"/>
    <w:rsid w:val="00CB2D85"/>
    <w:rsid w:val="00CB5134"/>
    <w:rsid w:val="00CB7AFD"/>
    <w:rsid w:val="00CC5344"/>
    <w:rsid w:val="00CF6F8C"/>
    <w:rsid w:val="00D14479"/>
    <w:rsid w:val="00D30172"/>
    <w:rsid w:val="00D30C59"/>
    <w:rsid w:val="00D44028"/>
    <w:rsid w:val="00D6189F"/>
    <w:rsid w:val="00D660BB"/>
    <w:rsid w:val="00D74C77"/>
    <w:rsid w:val="00D757E3"/>
    <w:rsid w:val="00DC2490"/>
    <w:rsid w:val="00DC4944"/>
    <w:rsid w:val="00DD1CA2"/>
    <w:rsid w:val="00E06D32"/>
    <w:rsid w:val="00E21AFD"/>
    <w:rsid w:val="00E513D3"/>
    <w:rsid w:val="00E6627A"/>
    <w:rsid w:val="00E84F0F"/>
    <w:rsid w:val="00EA5789"/>
    <w:rsid w:val="00EE0169"/>
    <w:rsid w:val="00EF24E4"/>
    <w:rsid w:val="00F05F56"/>
    <w:rsid w:val="00F173E7"/>
    <w:rsid w:val="00F25390"/>
    <w:rsid w:val="00F30101"/>
    <w:rsid w:val="00F315EF"/>
    <w:rsid w:val="00F32D10"/>
    <w:rsid w:val="00F34E9A"/>
    <w:rsid w:val="00F35B7E"/>
    <w:rsid w:val="00F403F7"/>
    <w:rsid w:val="00F424B3"/>
    <w:rsid w:val="00F45C85"/>
    <w:rsid w:val="00F5404A"/>
    <w:rsid w:val="00F61256"/>
    <w:rsid w:val="00F67D13"/>
    <w:rsid w:val="00F73690"/>
    <w:rsid w:val="00F76744"/>
    <w:rsid w:val="00F8064F"/>
    <w:rsid w:val="00F855B3"/>
    <w:rsid w:val="00F927EA"/>
    <w:rsid w:val="00FC316F"/>
    <w:rsid w:val="00FD21A3"/>
    <w:rsid w:val="00FD454D"/>
    <w:rsid w:val="00FE0314"/>
    <w:rsid w:val="00FE4E4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F1B5"/>
  <w15:docId w15:val="{A85DC3D0-BDAD-40D1-8339-F5B3BCC3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1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17F5"/>
    <w:pPr>
      <w:widowControl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7317F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7317F5"/>
    <w:pPr>
      <w:spacing w:after="120"/>
    </w:pPr>
  </w:style>
  <w:style w:type="paragraph" w:styleId="Lista">
    <w:name w:val="List"/>
    <w:basedOn w:val="Textbody"/>
    <w:rsid w:val="007317F5"/>
    <w:rPr>
      <w:rFonts w:cs="Lucida Sans"/>
    </w:rPr>
  </w:style>
  <w:style w:type="paragraph" w:styleId="Legenda">
    <w:name w:val="caption"/>
    <w:basedOn w:val="Standard"/>
    <w:rsid w:val="007317F5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7317F5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rsid w:val="007317F5"/>
    <w:pPr>
      <w:suppressAutoHyphens w:val="0"/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Standard"/>
    <w:rsid w:val="007317F5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7317F5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7317F5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7317F5"/>
    <w:pPr>
      <w:widowControl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Standard"/>
    <w:rsid w:val="007317F5"/>
    <w:pPr>
      <w:suppressAutoHyphens w:val="0"/>
      <w:spacing w:before="100" w:after="119"/>
    </w:pPr>
    <w:rPr>
      <w:color w:val="000000"/>
      <w:lang w:eastAsia="pl-PL"/>
    </w:rPr>
  </w:style>
  <w:style w:type="paragraph" w:styleId="NormalnyWeb">
    <w:name w:val="Normal (Web)"/>
    <w:basedOn w:val="Standard"/>
    <w:rsid w:val="007317F5"/>
    <w:pPr>
      <w:suppressAutoHyphens w:val="0"/>
      <w:spacing w:before="100" w:after="119"/>
    </w:pPr>
    <w:rPr>
      <w:color w:val="000000"/>
      <w:lang w:eastAsia="pl-PL"/>
    </w:rPr>
  </w:style>
  <w:style w:type="character" w:customStyle="1" w:styleId="TekstdymkaZnak">
    <w:name w:val="Tekst dymka Znak"/>
    <w:basedOn w:val="Domylnaczcionkaakapitu"/>
    <w:rsid w:val="007317F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rsid w:val="007317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rsid w:val="007317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sid w:val="007317F5"/>
    <w:rPr>
      <w:color w:val="0000FF"/>
      <w:u w:val="single"/>
    </w:rPr>
  </w:style>
  <w:style w:type="character" w:customStyle="1" w:styleId="ListLabel1">
    <w:name w:val="ListLabel 1"/>
    <w:rsid w:val="007317F5"/>
    <w:rPr>
      <w:rFonts w:eastAsia="Calibri" w:cs="Times New Roman"/>
    </w:rPr>
  </w:style>
  <w:style w:type="character" w:customStyle="1" w:styleId="ListLabel2">
    <w:name w:val="ListLabel 2"/>
    <w:rsid w:val="007317F5"/>
    <w:rPr>
      <w:rFonts w:cs="Courier New"/>
    </w:rPr>
  </w:style>
  <w:style w:type="character" w:customStyle="1" w:styleId="ListLabel3">
    <w:name w:val="ListLabel 3"/>
    <w:rsid w:val="007317F5"/>
    <w:rPr>
      <w:color w:val="00000A"/>
    </w:rPr>
  </w:style>
  <w:style w:type="numbering" w:customStyle="1" w:styleId="WWNum1">
    <w:name w:val="WWNum1"/>
    <w:basedOn w:val="Bezlisty"/>
    <w:rsid w:val="007317F5"/>
    <w:pPr>
      <w:numPr>
        <w:numId w:val="1"/>
      </w:numPr>
    </w:pPr>
  </w:style>
  <w:style w:type="numbering" w:customStyle="1" w:styleId="WWNum2">
    <w:name w:val="WWNum2"/>
    <w:basedOn w:val="Bezlisty"/>
    <w:rsid w:val="007317F5"/>
    <w:pPr>
      <w:numPr>
        <w:numId w:val="2"/>
      </w:numPr>
    </w:pPr>
  </w:style>
  <w:style w:type="numbering" w:customStyle="1" w:styleId="WWNum3">
    <w:name w:val="WWNum3"/>
    <w:basedOn w:val="Bezlisty"/>
    <w:rsid w:val="007317F5"/>
    <w:pPr>
      <w:numPr>
        <w:numId w:val="3"/>
      </w:numPr>
    </w:pPr>
  </w:style>
  <w:style w:type="numbering" w:customStyle="1" w:styleId="WWNum4">
    <w:name w:val="WWNum4"/>
    <w:basedOn w:val="Bezlisty"/>
    <w:rsid w:val="007317F5"/>
    <w:pPr>
      <w:numPr>
        <w:numId w:val="4"/>
      </w:numPr>
    </w:pPr>
  </w:style>
  <w:style w:type="numbering" w:customStyle="1" w:styleId="WWNum5">
    <w:name w:val="WWNum5"/>
    <w:basedOn w:val="Bezlisty"/>
    <w:rsid w:val="007317F5"/>
    <w:pPr>
      <w:numPr>
        <w:numId w:val="5"/>
      </w:numPr>
    </w:pPr>
  </w:style>
  <w:style w:type="numbering" w:customStyle="1" w:styleId="WWNum6">
    <w:name w:val="WWNum6"/>
    <w:basedOn w:val="Bezlisty"/>
    <w:rsid w:val="007317F5"/>
    <w:pPr>
      <w:numPr>
        <w:numId w:val="6"/>
      </w:numPr>
    </w:pPr>
  </w:style>
  <w:style w:type="numbering" w:customStyle="1" w:styleId="WWNum7">
    <w:name w:val="WWNum7"/>
    <w:basedOn w:val="Bezlisty"/>
    <w:rsid w:val="007317F5"/>
    <w:pPr>
      <w:numPr>
        <w:numId w:val="7"/>
      </w:numPr>
    </w:pPr>
  </w:style>
  <w:style w:type="numbering" w:customStyle="1" w:styleId="WWNum8">
    <w:name w:val="WWNum8"/>
    <w:basedOn w:val="Bezlisty"/>
    <w:rsid w:val="007317F5"/>
    <w:pPr>
      <w:numPr>
        <w:numId w:val="8"/>
      </w:numPr>
    </w:pPr>
  </w:style>
  <w:style w:type="numbering" w:customStyle="1" w:styleId="WWNum9">
    <w:name w:val="WWNum9"/>
    <w:basedOn w:val="Bezlisty"/>
    <w:rsid w:val="007317F5"/>
    <w:pPr>
      <w:numPr>
        <w:numId w:val="9"/>
      </w:numPr>
    </w:pPr>
  </w:style>
  <w:style w:type="numbering" w:customStyle="1" w:styleId="WWNum10">
    <w:name w:val="WWNum10"/>
    <w:basedOn w:val="Bezlisty"/>
    <w:rsid w:val="007317F5"/>
    <w:pPr>
      <w:numPr>
        <w:numId w:val="10"/>
      </w:numPr>
    </w:pPr>
  </w:style>
  <w:style w:type="numbering" w:customStyle="1" w:styleId="WWNum11">
    <w:name w:val="WWNum11"/>
    <w:basedOn w:val="Bezlisty"/>
    <w:rsid w:val="007317F5"/>
    <w:pPr>
      <w:numPr>
        <w:numId w:val="11"/>
      </w:numPr>
    </w:pPr>
  </w:style>
  <w:style w:type="numbering" w:customStyle="1" w:styleId="WWNum12">
    <w:name w:val="WWNum12"/>
    <w:basedOn w:val="Bezlisty"/>
    <w:rsid w:val="007317F5"/>
    <w:pPr>
      <w:numPr>
        <w:numId w:val="12"/>
      </w:numPr>
    </w:pPr>
  </w:style>
  <w:style w:type="numbering" w:customStyle="1" w:styleId="WWNum13">
    <w:name w:val="WWNum13"/>
    <w:basedOn w:val="Bezlisty"/>
    <w:rsid w:val="007317F5"/>
    <w:pPr>
      <w:numPr>
        <w:numId w:val="13"/>
      </w:numPr>
    </w:pPr>
  </w:style>
  <w:style w:type="numbering" w:customStyle="1" w:styleId="WWNum14">
    <w:name w:val="WWNum14"/>
    <w:basedOn w:val="Bezlisty"/>
    <w:rsid w:val="007317F5"/>
    <w:pPr>
      <w:numPr>
        <w:numId w:val="14"/>
      </w:numPr>
    </w:pPr>
  </w:style>
  <w:style w:type="numbering" w:customStyle="1" w:styleId="WWNum15">
    <w:name w:val="WWNum15"/>
    <w:basedOn w:val="Bezlisty"/>
    <w:rsid w:val="007317F5"/>
    <w:pPr>
      <w:numPr>
        <w:numId w:val="15"/>
      </w:numPr>
    </w:pPr>
  </w:style>
  <w:style w:type="numbering" w:customStyle="1" w:styleId="WWNum16">
    <w:name w:val="WWNum16"/>
    <w:basedOn w:val="Bezlisty"/>
    <w:rsid w:val="007317F5"/>
    <w:pPr>
      <w:numPr>
        <w:numId w:val="16"/>
      </w:numPr>
    </w:pPr>
  </w:style>
  <w:style w:type="numbering" w:customStyle="1" w:styleId="WWNum17">
    <w:name w:val="WWNum17"/>
    <w:basedOn w:val="Bezlisty"/>
    <w:rsid w:val="007317F5"/>
    <w:pPr>
      <w:numPr>
        <w:numId w:val="17"/>
      </w:numPr>
    </w:pPr>
  </w:style>
  <w:style w:type="numbering" w:customStyle="1" w:styleId="WWNum18">
    <w:name w:val="WWNum18"/>
    <w:basedOn w:val="Bezlisty"/>
    <w:rsid w:val="007317F5"/>
    <w:pPr>
      <w:numPr>
        <w:numId w:val="18"/>
      </w:numPr>
    </w:pPr>
  </w:style>
  <w:style w:type="numbering" w:customStyle="1" w:styleId="WWNum19">
    <w:name w:val="WWNum19"/>
    <w:basedOn w:val="Bezlisty"/>
    <w:rsid w:val="007317F5"/>
    <w:pPr>
      <w:numPr>
        <w:numId w:val="19"/>
      </w:numPr>
    </w:pPr>
  </w:style>
  <w:style w:type="numbering" w:customStyle="1" w:styleId="WWNum20">
    <w:name w:val="WWNum20"/>
    <w:basedOn w:val="Bezlisty"/>
    <w:rsid w:val="007317F5"/>
    <w:pPr>
      <w:numPr>
        <w:numId w:val="20"/>
      </w:numPr>
    </w:pPr>
  </w:style>
  <w:style w:type="numbering" w:customStyle="1" w:styleId="WWNum21">
    <w:name w:val="WWNum21"/>
    <w:basedOn w:val="Bezlisty"/>
    <w:rsid w:val="007317F5"/>
    <w:pPr>
      <w:numPr>
        <w:numId w:val="21"/>
      </w:numPr>
    </w:pPr>
  </w:style>
  <w:style w:type="numbering" w:customStyle="1" w:styleId="WWNum22">
    <w:name w:val="WWNum22"/>
    <w:basedOn w:val="Bezlisty"/>
    <w:rsid w:val="007317F5"/>
    <w:pPr>
      <w:numPr>
        <w:numId w:val="22"/>
      </w:numPr>
    </w:pPr>
  </w:style>
  <w:style w:type="numbering" w:customStyle="1" w:styleId="WWNum23">
    <w:name w:val="WWNum23"/>
    <w:basedOn w:val="Bezlisty"/>
    <w:rsid w:val="007317F5"/>
    <w:pPr>
      <w:numPr>
        <w:numId w:val="23"/>
      </w:numPr>
    </w:pPr>
  </w:style>
  <w:style w:type="numbering" w:customStyle="1" w:styleId="WWNum24">
    <w:name w:val="WWNum24"/>
    <w:basedOn w:val="Bezlisty"/>
    <w:rsid w:val="007317F5"/>
    <w:pPr>
      <w:numPr>
        <w:numId w:val="24"/>
      </w:numPr>
    </w:pPr>
  </w:style>
  <w:style w:type="numbering" w:customStyle="1" w:styleId="WWNum25">
    <w:name w:val="WWNum25"/>
    <w:basedOn w:val="Bezlisty"/>
    <w:rsid w:val="007317F5"/>
    <w:pPr>
      <w:numPr>
        <w:numId w:val="25"/>
      </w:numPr>
    </w:pPr>
  </w:style>
  <w:style w:type="numbering" w:customStyle="1" w:styleId="WWNum26">
    <w:name w:val="WWNum26"/>
    <w:basedOn w:val="Bezlisty"/>
    <w:rsid w:val="007317F5"/>
    <w:pPr>
      <w:numPr>
        <w:numId w:val="26"/>
      </w:numPr>
    </w:pPr>
  </w:style>
  <w:style w:type="character" w:styleId="Hipercze">
    <w:name w:val="Hyperlink"/>
    <w:basedOn w:val="Domylnaczcionkaakapitu"/>
    <w:uiPriority w:val="99"/>
    <w:unhideWhenUsed/>
    <w:rsid w:val="00DC24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edliska.gios.gov.pl/pl/publikacje/przewodniki-metodyczn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dos.gov.pl/files/artykuly/5067/instrukcja_wypelniania_sdf.zi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5198-7745-4951-8976-B811849F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3355</Words>
  <Characters>20134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Agata Mania</cp:lastModifiedBy>
  <cp:revision>31</cp:revision>
  <cp:lastPrinted>2019-01-10T12:17:00Z</cp:lastPrinted>
  <dcterms:created xsi:type="dcterms:W3CDTF">2019-01-10T12:57:00Z</dcterms:created>
  <dcterms:modified xsi:type="dcterms:W3CDTF">2019-03-18T09:55:00Z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