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494" w:rsidRPr="009530E1" w:rsidRDefault="006C3494" w:rsidP="009530E1">
      <w:pPr>
        <w:spacing w:line="276" w:lineRule="auto"/>
        <w:ind w:left="709"/>
        <w:rPr>
          <w:lang w:eastAsia="ar-SA"/>
        </w:rPr>
      </w:pPr>
      <w:r w:rsidRPr="009530E1">
        <w:rPr>
          <w:lang w:eastAsia="ar-SA"/>
        </w:rPr>
        <w:t>Załącznik nr 1</w:t>
      </w:r>
    </w:p>
    <w:p w:rsidR="006C3494" w:rsidRPr="009530E1" w:rsidRDefault="006C3494" w:rsidP="009530E1">
      <w:pPr>
        <w:spacing w:line="276" w:lineRule="auto"/>
        <w:jc w:val="center"/>
        <w:outlineLvl w:val="0"/>
        <w:rPr>
          <w:b/>
          <w:bCs/>
          <w:smallCaps/>
          <w:lang w:eastAsia="ar-SA"/>
        </w:rPr>
      </w:pPr>
    </w:p>
    <w:p w:rsidR="006C3494" w:rsidRPr="009530E1" w:rsidRDefault="006C3494" w:rsidP="009530E1">
      <w:pPr>
        <w:spacing w:line="276" w:lineRule="auto"/>
        <w:jc w:val="center"/>
        <w:outlineLvl w:val="0"/>
        <w:rPr>
          <w:b/>
          <w:bCs/>
          <w:smallCaps/>
          <w:lang w:eastAsia="ar-SA"/>
        </w:rPr>
      </w:pPr>
      <w:r w:rsidRPr="009530E1">
        <w:rPr>
          <w:b/>
          <w:bCs/>
          <w:smallCaps/>
          <w:lang w:eastAsia="ar-SA"/>
        </w:rPr>
        <w:t>O</w:t>
      </w:r>
      <w:r w:rsidR="00C67DAA">
        <w:rPr>
          <w:b/>
          <w:bCs/>
          <w:smallCaps/>
          <w:lang w:eastAsia="ar-SA"/>
        </w:rPr>
        <w:t xml:space="preserve">pis </w:t>
      </w:r>
      <w:r w:rsidRPr="009530E1">
        <w:rPr>
          <w:b/>
          <w:bCs/>
          <w:smallCaps/>
          <w:lang w:eastAsia="ar-SA"/>
        </w:rPr>
        <w:t xml:space="preserve">przedmiotu zamówienia </w:t>
      </w:r>
    </w:p>
    <w:p w:rsidR="006C3494" w:rsidRPr="009530E1" w:rsidRDefault="006C3494" w:rsidP="009530E1">
      <w:pPr>
        <w:spacing w:line="276" w:lineRule="auto"/>
        <w:jc w:val="center"/>
        <w:outlineLvl w:val="0"/>
        <w:rPr>
          <w:b/>
          <w:bCs/>
          <w:smallCaps/>
          <w:lang w:eastAsia="ar-SA"/>
        </w:rPr>
      </w:pPr>
      <w:r w:rsidRPr="009530E1">
        <w:rPr>
          <w:b/>
          <w:bCs/>
          <w:smallCaps/>
          <w:lang w:eastAsia="ar-SA"/>
        </w:rPr>
        <w:t xml:space="preserve">Obszar Natura 2000 </w:t>
      </w:r>
      <w:r w:rsidR="00C11842">
        <w:rPr>
          <w:b/>
          <w:bCs/>
          <w:smallCaps/>
          <w:lang w:eastAsia="ar-SA"/>
        </w:rPr>
        <w:t xml:space="preserve">Błota </w:t>
      </w:r>
      <w:proofErr w:type="spellStart"/>
      <w:r w:rsidR="00C11842">
        <w:rPr>
          <w:b/>
          <w:bCs/>
          <w:smallCaps/>
          <w:lang w:eastAsia="ar-SA"/>
        </w:rPr>
        <w:t>Rakutowskie</w:t>
      </w:r>
      <w:proofErr w:type="spellEnd"/>
      <w:r w:rsidR="00C11842">
        <w:rPr>
          <w:b/>
          <w:bCs/>
          <w:smallCaps/>
          <w:lang w:eastAsia="ar-SA"/>
        </w:rPr>
        <w:t xml:space="preserve"> PLB040001</w:t>
      </w:r>
    </w:p>
    <w:p w:rsidR="00D34ED2" w:rsidRDefault="00D34ED2" w:rsidP="009530E1">
      <w:pPr>
        <w:spacing w:line="276" w:lineRule="auto"/>
        <w:jc w:val="center"/>
        <w:outlineLvl w:val="0"/>
        <w:rPr>
          <w:b/>
          <w:bCs/>
          <w:smallCaps/>
          <w:lang w:eastAsia="ar-SA"/>
        </w:rPr>
      </w:pPr>
    </w:p>
    <w:p w:rsidR="009530E1" w:rsidRDefault="009530E1" w:rsidP="009530E1">
      <w:pPr>
        <w:spacing w:line="276" w:lineRule="auto"/>
        <w:jc w:val="center"/>
        <w:outlineLvl w:val="0"/>
        <w:rPr>
          <w:b/>
          <w:bCs/>
          <w:smallCaps/>
          <w:lang w:eastAsia="ar-SA"/>
        </w:rPr>
      </w:pPr>
    </w:p>
    <w:p w:rsidR="009530E1" w:rsidRPr="009530E1" w:rsidRDefault="009530E1" w:rsidP="009530E1">
      <w:pPr>
        <w:spacing w:line="276" w:lineRule="auto"/>
        <w:jc w:val="center"/>
        <w:outlineLvl w:val="0"/>
        <w:rPr>
          <w:b/>
          <w:bCs/>
          <w:smallCaps/>
          <w:lang w:eastAsia="ar-SA"/>
        </w:rPr>
      </w:pPr>
    </w:p>
    <w:p w:rsidR="0025369C" w:rsidRDefault="00A815B6" w:rsidP="009530E1">
      <w:pPr>
        <w:spacing w:line="276" w:lineRule="auto"/>
        <w:jc w:val="both"/>
        <w:rPr>
          <w:rFonts w:eastAsia="TimesNewRomanPSMT"/>
          <w:b/>
          <w:bCs/>
        </w:rPr>
      </w:pPr>
      <w:r w:rsidRPr="009530E1">
        <w:rPr>
          <w:rFonts w:eastAsia="TimesNewRomanPSMT"/>
          <w:b/>
          <w:bCs/>
        </w:rPr>
        <w:t xml:space="preserve">I. </w:t>
      </w:r>
      <w:r w:rsidR="0025369C" w:rsidRPr="009530E1">
        <w:rPr>
          <w:rFonts w:eastAsia="TimesNewRomanPSMT"/>
          <w:b/>
          <w:bCs/>
        </w:rPr>
        <w:t>Pod</w:t>
      </w:r>
      <w:r w:rsidR="00D34ED2" w:rsidRPr="009530E1">
        <w:rPr>
          <w:rFonts w:eastAsia="TimesNewRomanPSMT"/>
          <w:b/>
          <w:bCs/>
        </w:rPr>
        <w:t>stawa prowadzenia badań:</w:t>
      </w:r>
    </w:p>
    <w:p w:rsidR="009530E1" w:rsidRPr="009530E1" w:rsidRDefault="009530E1" w:rsidP="009530E1">
      <w:pPr>
        <w:spacing w:line="276" w:lineRule="auto"/>
        <w:jc w:val="both"/>
        <w:rPr>
          <w:rFonts w:eastAsia="TimesNewRomanPSMT"/>
          <w:b/>
        </w:rPr>
      </w:pPr>
    </w:p>
    <w:p w:rsidR="00164DCE" w:rsidRPr="00885605" w:rsidRDefault="00164DCE" w:rsidP="009530E1">
      <w:pPr>
        <w:spacing w:line="276" w:lineRule="auto"/>
        <w:jc w:val="both"/>
        <w:rPr>
          <w:rFonts w:eastAsia="TimesNewRomanPSMT"/>
        </w:rPr>
      </w:pPr>
      <w:r w:rsidRPr="00885605">
        <w:rPr>
          <w:rFonts w:eastAsia="TimesNewRomanPSMT"/>
        </w:rPr>
        <w:t xml:space="preserve">Celem projektu jest wykonanie monitoringu ornitologicznego </w:t>
      </w:r>
      <w:r w:rsidR="00E42639" w:rsidRPr="00885605">
        <w:rPr>
          <w:rFonts w:eastAsia="TimesNewRomanPSMT"/>
        </w:rPr>
        <w:t xml:space="preserve">oraz uzupełnienia stanu wiedzy o wybranych przedmiotach ochrony </w:t>
      </w:r>
      <w:r w:rsidRPr="00885605">
        <w:rPr>
          <w:rFonts w:eastAsia="TimesNewRomanPSMT"/>
        </w:rPr>
        <w:t xml:space="preserve">obszaru specjalnej ochrony ptaków </w:t>
      </w:r>
      <w:r w:rsidR="00E42639" w:rsidRPr="00885605">
        <w:rPr>
          <w:rFonts w:eastAsia="TimesNewRomanPSMT"/>
        </w:rPr>
        <w:t xml:space="preserve">Błota </w:t>
      </w:r>
      <w:proofErr w:type="spellStart"/>
      <w:r w:rsidR="00E42639" w:rsidRPr="00885605">
        <w:rPr>
          <w:rFonts w:eastAsia="TimesNewRomanPSMT"/>
        </w:rPr>
        <w:t>Rakutowskie</w:t>
      </w:r>
      <w:proofErr w:type="spellEnd"/>
      <w:r w:rsidRPr="00885605">
        <w:rPr>
          <w:rFonts w:eastAsia="TimesNewRomanPSMT"/>
        </w:rPr>
        <w:t>.</w:t>
      </w:r>
    </w:p>
    <w:p w:rsidR="00164DCE" w:rsidRPr="00E25C97" w:rsidRDefault="00164DCE" w:rsidP="009530E1">
      <w:pPr>
        <w:spacing w:line="276" w:lineRule="auto"/>
        <w:jc w:val="both"/>
        <w:rPr>
          <w:rFonts w:eastAsia="TimesNewRomanPSMT"/>
        </w:rPr>
      </w:pPr>
      <w:r w:rsidRPr="00E25C97">
        <w:rPr>
          <w:rFonts w:eastAsia="TimesNewRomanPSMT"/>
        </w:rPr>
        <w:t>Zgodnie z art. 31. ustawy z dnia 16 kwietnia 2004 roku o ochronie przyrody (</w:t>
      </w:r>
      <w:r w:rsidR="00A815B6" w:rsidRPr="00E25C97">
        <w:rPr>
          <w:rFonts w:eastAsia="TimesNewRomanPSMT"/>
        </w:rPr>
        <w:t>Dz. U. z 2016 r. poz. 2134 ze zm</w:t>
      </w:r>
      <w:r w:rsidRPr="00E25C97">
        <w:rPr>
          <w:rFonts w:eastAsia="TimesNewRomanPSMT"/>
        </w:rPr>
        <w:t>.) sprawujący nadzór (w tym przypadku R</w:t>
      </w:r>
      <w:r w:rsidR="00F54250" w:rsidRPr="00E25C97">
        <w:rPr>
          <w:rFonts w:eastAsia="TimesNewRomanPSMT"/>
        </w:rPr>
        <w:t xml:space="preserve">egionalny </w:t>
      </w:r>
      <w:r w:rsidRPr="00E25C97">
        <w:rPr>
          <w:rFonts w:eastAsia="TimesNewRomanPSMT"/>
        </w:rPr>
        <w:t>D</w:t>
      </w:r>
      <w:r w:rsidR="00F54250" w:rsidRPr="00E25C97">
        <w:rPr>
          <w:rFonts w:eastAsia="TimesNewRomanPSMT"/>
        </w:rPr>
        <w:t xml:space="preserve">yrektor </w:t>
      </w:r>
      <w:r w:rsidRPr="00E25C97">
        <w:rPr>
          <w:rFonts w:eastAsia="TimesNewRomanPSMT"/>
        </w:rPr>
        <w:t>O</w:t>
      </w:r>
      <w:r w:rsidR="00F54250" w:rsidRPr="00E25C97">
        <w:rPr>
          <w:rFonts w:eastAsia="TimesNewRomanPSMT"/>
        </w:rPr>
        <w:t xml:space="preserve">chrony </w:t>
      </w:r>
      <w:r w:rsidRPr="00E25C97">
        <w:rPr>
          <w:rFonts w:eastAsia="TimesNewRomanPSMT"/>
        </w:rPr>
        <w:t>Ś</w:t>
      </w:r>
      <w:r w:rsidR="00F54250" w:rsidRPr="00E25C97">
        <w:rPr>
          <w:rFonts w:eastAsia="TimesNewRomanPSMT"/>
        </w:rPr>
        <w:t>rodowiska</w:t>
      </w:r>
      <w:r w:rsidRPr="00E25C97">
        <w:rPr>
          <w:rFonts w:eastAsia="TimesNewRomanPSMT"/>
        </w:rPr>
        <w:t xml:space="preserve"> w Bydgoszczy) nad obszarem Natura 2000 sporządza i przekazuje Generalnemu Dyrektorowi Ochrony Środowiska co 3 lata w odniesieniu do obszaru specjalnej ochrony ptaków, ocenę realizacji ochrony tego obszaru, zawierającą informacje dotyczące podejmowanych działań ochronnych oraz wpływu tych działań na stan ochrony siedlisk przyrodniczych oraz gatunków roślin i zwierząt, dla których ochrony został wyznaczony obszar Natura 2000, a także wyniki monitorowania i nadzoru tych działań. </w:t>
      </w:r>
    </w:p>
    <w:p w:rsidR="006C3494" w:rsidRDefault="00164DCE" w:rsidP="009530E1">
      <w:pPr>
        <w:spacing w:line="276" w:lineRule="auto"/>
        <w:jc w:val="both"/>
        <w:rPr>
          <w:rFonts w:eastAsia="TimesNewRomanPSMT"/>
        </w:rPr>
      </w:pPr>
      <w:r w:rsidRPr="00E25C97">
        <w:rPr>
          <w:rFonts w:eastAsia="TimesNewRomanPSMT"/>
        </w:rPr>
        <w:t>W celu określenia stanu ochrony przedmiotów ochrony ww. obszaru Natura 2000 należy wykonać monitoring ornitologiczny w okresie lęgowym oraz migracji sezonowych (wiosennych i jesiennych)</w:t>
      </w:r>
      <w:r w:rsidR="00E86510">
        <w:rPr>
          <w:rFonts w:eastAsia="TimesNewRomanPSMT"/>
        </w:rPr>
        <w:t xml:space="preserve"> oraz uzupełnienie stanu wiedzy o wybranych przedmiotach ochrony i uwarunkowania ich ochrony</w:t>
      </w:r>
      <w:r w:rsidRPr="00E25C97">
        <w:rPr>
          <w:rFonts w:eastAsia="TimesNewRomanPSMT"/>
        </w:rPr>
        <w:t>.</w:t>
      </w:r>
    </w:p>
    <w:p w:rsidR="00E25C97" w:rsidRPr="00885605" w:rsidRDefault="00E25C97" w:rsidP="009530E1">
      <w:pPr>
        <w:spacing w:line="276" w:lineRule="auto"/>
        <w:jc w:val="both"/>
        <w:rPr>
          <w:rFonts w:eastAsia="TimesNewRomanPSMT"/>
        </w:rPr>
      </w:pPr>
      <w:r>
        <w:rPr>
          <w:rFonts w:eastAsia="TimesNewRomanPSMT"/>
        </w:rPr>
        <w:t xml:space="preserve">Konieczność wykonania monitoringu ornitologicznego rezerwatu przyrody Jezioro </w:t>
      </w:r>
      <w:proofErr w:type="spellStart"/>
      <w:r>
        <w:rPr>
          <w:rFonts w:eastAsia="TimesNewRomanPSMT"/>
        </w:rPr>
        <w:t>Rakutowskie</w:t>
      </w:r>
      <w:proofErr w:type="spellEnd"/>
      <w:r>
        <w:rPr>
          <w:rFonts w:eastAsia="TimesNewRomanPSMT"/>
        </w:rPr>
        <w:t xml:space="preserve"> wynika z zapisów </w:t>
      </w:r>
      <w:r>
        <w:t xml:space="preserve">Zarządzenia Nr 15/0210/2011 Regionalnego Dyrektora Ochrony Środowiska w Bydgoszczy z dnia 28 grudnia 2011 r. w sprawie ustanowienia planu ochrony dla rezerwatu przyrody Jezioro </w:t>
      </w:r>
      <w:proofErr w:type="spellStart"/>
      <w:r>
        <w:t>Rakutowskie</w:t>
      </w:r>
      <w:proofErr w:type="spellEnd"/>
      <w:r>
        <w:t xml:space="preserve"> (Dz. Urz. Woj. Kuj-Pom. nr 311, poz. 3387).</w:t>
      </w:r>
    </w:p>
    <w:p w:rsidR="00164DCE" w:rsidRPr="00885605" w:rsidRDefault="00A2681A" w:rsidP="009530E1">
      <w:pPr>
        <w:spacing w:line="276" w:lineRule="auto"/>
        <w:jc w:val="both"/>
        <w:rPr>
          <w:rFonts w:eastAsia="TimesNewRomanPSMT"/>
        </w:rPr>
      </w:pPr>
      <w:r w:rsidRPr="00885605">
        <w:rPr>
          <w:rFonts w:eastAsia="TimesNewRomanPSMT"/>
        </w:rPr>
        <w:t>Powyższe d</w:t>
      </w:r>
      <w:r w:rsidR="00164DCE" w:rsidRPr="00885605">
        <w:rPr>
          <w:rFonts w:eastAsia="TimesNewRomanPSMT"/>
        </w:rPr>
        <w:t xml:space="preserve">ziałania </w:t>
      </w:r>
      <w:r w:rsidR="00274885" w:rsidRPr="00885605">
        <w:rPr>
          <w:rFonts w:eastAsia="TimesNewRomanPSMT"/>
        </w:rPr>
        <w:t>zostaną wykonane</w:t>
      </w:r>
      <w:r w:rsidR="006C3494" w:rsidRPr="00885605">
        <w:rPr>
          <w:rFonts w:eastAsia="TimesNewRomanPSMT"/>
        </w:rPr>
        <w:t xml:space="preserve"> w latach 2017-2018</w:t>
      </w:r>
      <w:r w:rsidR="00164DCE" w:rsidRPr="00885605">
        <w:rPr>
          <w:rFonts w:eastAsia="TimesNewRomanPSMT"/>
        </w:rPr>
        <w:t>.</w:t>
      </w:r>
    </w:p>
    <w:p w:rsidR="00A815B6" w:rsidRPr="00885605" w:rsidRDefault="0003077C" w:rsidP="009530E1">
      <w:pPr>
        <w:spacing w:line="276" w:lineRule="auto"/>
        <w:jc w:val="both"/>
      </w:pPr>
      <w:r w:rsidRPr="00885605">
        <w:rPr>
          <w:rFonts w:eastAsia="TimesNewRomanPSMT"/>
        </w:rPr>
        <w:t xml:space="preserve">Przedmiotem zamówienia jest </w:t>
      </w:r>
      <w:r w:rsidRPr="00885605">
        <w:t>raport z monitoringu orn</w:t>
      </w:r>
      <w:r w:rsidR="00B6744A">
        <w:t>itologicznego z okresu lęgowego</w:t>
      </w:r>
      <w:r w:rsidR="00B6744A">
        <w:br/>
      </w:r>
      <w:r w:rsidR="00351263" w:rsidRPr="00885605">
        <w:t>i</w:t>
      </w:r>
      <w:r w:rsidRPr="00885605">
        <w:t xml:space="preserve"> migracji sezonowych </w:t>
      </w:r>
      <w:r w:rsidR="00E86510">
        <w:t xml:space="preserve">wraz </w:t>
      </w:r>
      <w:r w:rsidRPr="00885605">
        <w:t xml:space="preserve">z oceną </w:t>
      </w:r>
      <w:r w:rsidR="00351263" w:rsidRPr="00885605">
        <w:t>liczebności gatunków w obszarze, oceną sta</w:t>
      </w:r>
      <w:r w:rsidR="00574D8E" w:rsidRPr="00885605">
        <w:t xml:space="preserve">nu zachowania siedlisk gatunków i </w:t>
      </w:r>
      <w:r w:rsidR="00351263" w:rsidRPr="00885605">
        <w:t>oceną wpływu</w:t>
      </w:r>
      <w:r w:rsidRPr="00885605">
        <w:t xml:space="preserve"> </w:t>
      </w:r>
      <w:r w:rsidR="00351263" w:rsidRPr="00885605">
        <w:t xml:space="preserve">drapieżników na </w:t>
      </w:r>
      <w:r w:rsidRPr="00885605">
        <w:t>przedmiot</w:t>
      </w:r>
      <w:r w:rsidR="00351263" w:rsidRPr="00885605">
        <w:t>y</w:t>
      </w:r>
      <w:r w:rsidRPr="00885605">
        <w:t xml:space="preserve"> ochrony </w:t>
      </w:r>
      <w:r w:rsidR="00351263" w:rsidRPr="00885605">
        <w:t xml:space="preserve">oraz </w:t>
      </w:r>
      <w:r w:rsidR="00574D8E" w:rsidRPr="00885605">
        <w:t xml:space="preserve">z </w:t>
      </w:r>
      <w:r w:rsidR="00351263" w:rsidRPr="00885605">
        <w:t>uzupełnienia stanu wiedzy o wybranych przedmiotach ochrony i uwarunkowaniach ich ochrony w obszarze</w:t>
      </w:r>
      <w:r w:rsidRPr="00885605">
        <w:t xml:space="preserve"> specjalnej ochrony ptaków </w:t>
      </w:r>
      <w:r w:rsidR="00351263" w:rsidRPr="00885605">
        <w:t xml:space="preserve">Błota </w:t>
      </w:r>
      <w:proofErr w:type="spellStart"/>
      <w:r w:rsidR="00351263" w:rsidRPr="00885605">
        <w:t>Rakutowskie</w:t>
      </w:r>
      <w:proofErr w:type="spellEnd"/>
      <w:r w:rsidR="00351263" w:rsidRPr="00885605">
        <w:t xml:space="preserve"> PLB040001 a także</w:t>
      </w:r>
      <w:r w:rsidR="00574D8E" w:rsidRPr="00885605">
        <w:t xml:space="preserve"> z</w:t>
      </w:r>
      <w:r w:rsidR="00351263" w:rsidRPr="00885605">
        <w:t xml:space="preserve"> monito</w:t>
      </w:r>
      <w:r w:rsidR="00574D8E" w:rsidRPr="00885605">
        <w:t>r</w:t>
      </w:r>
      <w:r w:rsidR="00351263" w:rsidRPr="00885605">
        <w:t xml:space="preserve">ingu </w:t>
      </w:r>
      <w:r w:rsidR="00574D8E" w:rsidRPr="00885605">
        <w:t>awifauny</w:t>
      </w:r>
      <w:r w:rsidR="00351263" w:rsidRPr="00885605">
        <w:t xml:space="preserve"> rezerwatu przyrody Jezioro </w:t>
      </w:r>
      <w:proofErr w:type="spellStart"/>
      <w:r w:rsidR="00351263" w:rsidRPr="00885605">
        <w:t>Rakutowskie</w:t>
      </w:r>
      <w:proofErr w:type="spellEnd"/>
      <w:r w:rsidRPr="00885605">
        <w:t>.</w:t>
      </w:r>
    </w:p>
    <w:p w:rsidR="00A815B6" w:rsidRPr="00885605" w:rsidRDefault="00A815B6" w:rsidP="009530E1">
      <w:pPr>
        <w:spacing w:line="276" w:lineRule="auto"/>
        <w:jc w:val="both"/>
      </w:pPr>
    </w:p>
    <w:p w:rsidR="00A815B6" w:rsidRPr="00885605" w:rsidRDefault="00A815B6" w:rsidP="009530E1">
      <w:pPr>
        <w:spacing w:line="276" w:lineRule="auto"/>
        <w:jc w:val="both"/>
        <w:rPr>
          <w:b/>
        </w:rPr>
      </w:pPr>
      <w:r w:rsidRPr="00885605">
        <w:rPr>
          <w:b/>
        </w:rPr>
        <w:t xml:space="preserve">II. </w:t>
      </w:r>
      <w:r w:rsidR="00D34ED2" w:rsidRPr="00885605">
        <w:rPr>
          <w:b/>
        </w:rPr>
        <w:t>Zakres działań:</w:t>
      </w:r>
    </w:p>
    <w:p w:rsidR="00E42639" w:rsidRPr="00885605" w:rsidRDefault="00E42639" w:rsidP="00E42639">
      <w:pPr>
        <w:spacing w:line="276" w:lineRule="auto"/>
        <w:ind w:left="426"/>
        <w:jc w:val="both"/>
        <w:rPr>
          <w:b/>
        </w:rPr>
      </w:pPr>
    </w:p>
    <w:p w:rsidR="00885605" w:rsidRPr="00885605" w:rsidRDefault="00885605" w:rsidP="00885605">
      <w:pPr>
        <w:spacing w:line="276" w:lineRule="auto"/>
        <w:jc w:val="both"/>
      </w:pPr>
      <w:r w:rsidRPr="00885605">
        <w:t xml:space="preserve">1. </w:t>
      </w:r>
      <w:r w:rsidR="00E109FD" w:rsidRPr="00885605">
        <w:t xml:space="preserve">Wykonawca przeprowadzi </w:t>
      </w:r>
      <w:r w:rsidR="00707697" w:rsidRPr="00885605">
        <w:t>badania terenowe</w:t>
      </w:r>
      <w:r w:rsidR="00B20827" w:rsidRPr="00885605">
        <w:t xml:space="preserve"> na obszarze Natu</w:t>
      </w:r>
      <w:r w:rsidR="006C3494" w:rsidRPr="00885605">
        <w:t xml:space="preserve">ra 2000 </w:t>
      </w:r>
      <w:r w:rsidR="00E42639" w:rsidRPr="00885605">
        <w:t xml:space="preserve">Błota </w:t>
      </w:r>
      <w:proofErr w:type="spellStart"/>
      <w:r w:rsidR="00E42639" w:rsidRPr="00885605">
        <w:t>Rakutowskie</w:t>
      </w:r>
      <w:proofErr w:type="spellEnd"/>
      <w:r w:rsidR="00B6744A">
        <w:br/>
      </w:r>
      <w:r w:rsidR="00B20827" w:rsidRPr="00885605">
        <w:t>w następujący sposób:</w:t>
      </w:r>
    </w:p>
    <w:p w:rsidR="00885605" w:rsidRPr="00885605" w:rsidRDefault="00393D95"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migrującej płaskonosa </w:t>
      </w:r>
      <w:proofErr w:type="spellStart"/>
      <w:r w:rsidR="00194475" w:rsidRPr="00885605">
        <w:rPr>
          <w:rFonts w:ascii="Times New Roman" w:hAnsi="Times New Roman"/>
          <w:i/>
          <w:sz w:val="24"/>
          <w:szCs w:val="24"/>
        </w:rPr>
        <w:t>Anas</w:t>
      </w:r>
      <w:proofErr w:type="spellEnd"/>
      <w:r w:rsidR="00194475" w:rsidRPr="00885605">
        <w:rPr>
          <w:rFonts w:ascii="Times New Roman" w:hAnsi="Times New Roman"/>
          <w:i/>
          <w:sz w:val="24"/>
          <w:szCs w:val="24"/>
        </w:rPr>
        <w:t xml:space="preserve"> </w:t>
      </w:r>
      <w:proofErr w:type="spellStart"/>
      <w:r w:rsidR="00194475" w:rsidRPr="00885605">
        <w:rPr>
          <w:rFonts w:ascii="Times New Roman" w:hAnsi="Times New Roman"/>
          <w:i/>
          <w:sz w:val="24"/>
          <w:szCs w:val="24"/>
        </w:rPr>
        <w:t>clypeata</w:t>
      </w:r>
      <w:proofErr w:type="spellEnd"/>
      <w:r w:rsidR="00194475" w:rsidRPr="00885605">
        <w:rPr>
          <w:rFonts w:ascii="Times New Roman" w:hAnsi="Times New Roman"/>
          <w:sz w:val="24"/>
          <w:szCs w:val="24"/>
        </w:rPr>
        <w:t xml:space="preserve"> </w:t>
      </w:r>
      <w:r w:rsidRPr="00885605">
        <w:rPr>
          <w:rFonts w:ascii="Times New Roman" w:hAnsi="Times New Roman"/>
          <w:sz w:val="24"/>
          <w:szCs w:val="24"/>
        </w:rPr>
        <w:t xml:space="preserve">– należy wykonać 5 kontroli terenowych wiosną: pierwszą w ostatniej dekadzie </w:t>
      </w:r>
      <w:r w:rsidR="00475AA7">
        <w:rPr>
          <w:rFonts w:ascii="Times New Roman" w:hAnsi="Times New Roman"/>
          <w:sz w:val="24"/>
          <w:szCs w:val="24"/>
        </w:rPr>
        <w:t xml:space="preserve">marca, trzy kontrole w kwietniu </w:t>
      </w:r>
      <w:r w:rsidRPr="00885605">
        <w:rPr>
          <w:rFonts w:ascii="Times New Roman" w:hAnsi="Times New Roman"/>
          <w:sz w:val="24"/>
          <w:szCs w:val="24"/>
        </w:rPr>
        <w:t>i ostatnią w pierwszej dekadzie maja oraz 6 kon</w:t>
      </w:r>
      <w:r w:rsidR="00B6744A">
        <w:rPr>
          <w:rFonts w:ascii="Times New Roman" w:hAnsi="Times New Roman"/>
          <w:sz w:val="24"/>
          <w:szCs w:val="24"/>
        </w:rPr>
        <w:t xml:space="preserve">troli terenowych jesienią: </w:t>
      </w:r>
      <w:r w:rsidR="00B6744A">
        <w:rPr>
          <w:rFonts w:ascii="Times New Roman" w:hAnsi="Times New Roman"/>
          <w:sz w:val="24"/>
          <w:szCs w:val="24"/>
        </w:rPr>
        <w:lastRenderedPageBreak/>
        <w:t>trzy</w:t>
      </w:r>
      <w:r w:rsidR="00475AA7">
        <w:rPr>
          <w:rFonts w:ascii="Times New Roman" w:hAnsi="Times New Roman"/>
          <w:sz w:val="24"/>
          <w:szCs w:val="24"/>
        </w:rPr>
        <w:t xml:space="preserve"> </w:t>
      </w:r>
      <w:r w:rsidRPr="00885605">
        <w:rPr>
          <w:rFonts w:ascii="Times New Roman" w:hAnsi="Times New Roman"/>
          <w:sz w:val="24"/>
          <w:szCs w:val="24"/>
        </w:rPr>
        <w:t xml:space="preserve">w październiku i trzy w listopadzie. Kontrole należy prowadzić w godzinach porannych do wczesnego popołudnia. Monitoringiem objąć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w:t>
      </w:r>
    </w:p>
    <w:p w:rsidR="00885605" w:rsidRPr="00885605" w:rsidRDefault="00B41DCB"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migrującej gęgawy </w:t>
      </w:r>
      <w:proofErr w:type="spellStart"/>
      <w:r w:rsidRPr="00885605">
        <w:rPr>
          <w:rFonts w:ascii="Times New Roman" w:hAnsi="Times New Roman"/>
          <w:i/>
          <w:sz w:val="24"/>
          <w:szCs w:val="24"/>
        </w:rPr>
        <w:t>Anser</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anser</w:t>
      </w:r>
      <w:proofErr w:type="spellEnd"/>
      <w:r w:rsidRPr="00885605">
        <w:rPr>
          <w:rFonts w:ascii="Times New Roman" w:hAnsi="Times New Roman"/>
          <w:i/>
          <w:sz w:val="24"/>
          <w:szCs w:val="24"/>
        </w:rPr>
        <w:t xml:space="preserve"> </w:t>
      </w:r>
      <w:r w:rsidR="00822F4F" w:rsidRPr="00885605">
        <w:rPr>
          <w:rFonts w:ascii="Times New Roman" w:hAnsi="Times New Roman"/>
          <w:sz w:val="24"/>
          <w:szCs w:val="24"/>
        </w:rPr>
        <w:t xml:space="preserve">i gęsi zbożowej </w:t>
      </w:r>
      <w:proofErr w:type="spellStart"/>
      <w:r w:rsidR="00822F4F" w:rsidRPr="00885605">
        <w:rPr>
          <w:rFonts w:ascii="Times New Roman" w:hAnsi="Times New Roman"/>
          <w:i/>
          <w:sz w:val="24"/>
          <w:szCs w:val="24"/>
        </w:rPr>
        <w:t>Anser</w:t>
      </w:r>
      <w:proofErr w:type="spellEnd"/>
      <w:r w:rsidR="00822F4F" w:rsidRPr="00885605">
        <w:rPr>
          <w:rFonts w:ascii="Times New Roman" w:hAnsi="Times New Roman"/>
          <w:i/>
          <w:sz w:val="24"/>
          <w:szCs w:val="24"/>
        </w:rPr>
        <w:t xml:space="preserve"> </w:t>
      </w:r>
      <w:proofErr w:type="spellStart"/>
      <w:r w:rsidR="00822F4F" w:rsidRPr="00885605">
        <w:rPr>
          <w:rFonts w:ascii="Times New Roman" w:hAnsi="Times New Roman"/>
          <w:i/>
          <w:sz w:val="24"/>
          <w:szCs w:val="24"/>
        </w:rPr>
        <w:t>fabalis</w:t>
      </w:r>
      <w:proofErr w:type="spellEnd"/>
      <w:r w:rsidR="00822F4F" w:rsidRPr="00885605">
        <w:rPr>
          <w:rFonts w:ascii="Times New Roman" w:hAnsi="Times New Roman"/>
          <w:i/>
          <w:sz w:val="24"/>
          <w:szCs w:val="24"/>
        </w:rPr>
        <w:t xml:space="preserve"> </w:t>
      </w:r>
      <w:r w:rsidRPr="00885605">
        <w:rPr>
          <w:rFonts w:ascii="Times New Roman" w:hAnsi="Times New Roman"/>
          <w:sz w:val="24"/>
          <w:szCs w:val="24"/>
        </w:rPr>
        <w:t>– liczenie osobników (stad) na noclegowiskach uzupełnione obserwacjami z żerowisk.</w:t>
      </w:r>
      <w:r w:rsidR="00194475" w:rsidRPr="00885605">
        <w:rPr>
          <w:rFonts w:ascii="Times New Roman" w:hAnsi="Times New Roman"/>
          <w:sz w:val="24"/>
          <w:szCs w:val="24"/>
        </w:rPr>
        <w:t xml:space="preserve"> Należy wykonać łącznie 4 kontrole terenowe: wiosną w okresie 10-25 marca i 1-15 kwietnia oraz jesienią w okresie 15-30 października i 5-20 listopada. Pojedyncza kontrola powinna trwać ok 2 godzin. Liczenie gęsie można prowadzić w dwóch porach doby: rano, w chwili kiedy ptaki opuszczają miejsce noclegowe lub wieczorem, podczas zlatywania się ptaków na noclegowisko. Liczenia uzupełniające na żerowiskach można prowadzić w ciągu całego dnia. Monitoringiem objąć noclegowiska oraz żerowiska – użytki zielone oraz pola uprawne położone w granicach obszaru.</w:t>
      </w:r>
    </w:p>
    <w:p w:rsidR="00885605" w:rsidRPr="00885605" w:rsidRDefault="00524A98"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migrującej żurawia </w:t>
      </w:r>
      <w:proofErr w:type="spellStart"/>
      <w:r w:rsidRPr="00885605">
        <w:rPr>
          <w:rFonts w:ascii="Times New Roman" w:hAnsi="Times New Roman"/>
          <w:i/>
          <w:sz w:val="24"/>
          <w:szCs w:val="24"/>
        </w:rPr>
        <w:t>Grus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grus</w:t>
      </w:r>
      <w:proofErr w:type="spellEnd"/>
      <w:r w:rsidRPr="00885605">
        <w:rPr>
          <w:rFonts w:ascii="Times New Roman" w:hAnsi="Times New Roman"/>
          <w:i/>
          <w:sz w:val="24"/>
          <w:szCs w:val="24"/>
        </w:rPr>
        <w:t xml:space="preserve"> </w:t>
      </w:r>
      <w:r w:rsidRPr="00885605">
        <w:rPr>
          <w:rFonts w:ascii="Times New Roman" w:hAnsi="Times New Roman"/>
          <w:sz w:val="24"/>
          <w:szCs w:val="24"/>
        </w:rPr>
        <w:t>– w trakcie sezonu jesiennego wykonać 3 kontrole zlotowisk gatunku. Liczenia wykonać w okresie od 5 września do 25 października w odstępach ok 15 dni. Wiosną wykonać 2 liczenia w okresie 10-25 kwietnia. Pojedyncza kontrola powinna trwać co najmniej 2 godziny. Liczenia żurawi można prowadzić w dwóch porach doby: rano, w chwili kiedy ptaki opuszczają miejsce noclegowe lub wieczorem, podczas zlatywania się ptaków na noclegowisko. Kontrole noclegowiska należy uzupełnić obserwacjami z żerowisk. Monitoringiem objąć noclegowiska oraz żerowiska – użytki zielone oraz pola uprawne położone w granicach obszaru.</w:t>
      </w:r>
    </w:p>
    <w:p w:rsidR="00885605" w:rsidRPr="00885605" w:rsidRDefault="00524A98"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migrującej rybitwy czarnej </w:t>
      </w:r>
      <w:proofErr w:type="spellStart"/>
      <w:r w:rsidRPr="00885605">
        <w:rPr>
          <w:rFonts w:ascii="Times New Roman" w:hAnsi="Times New Roman"/>
          <w:i/>
          <w:sz w:val="24"/>
          <w:szCs w:val="24"/>
        </w:rPr>
        <w:t>Chlidonias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niger</w:t>
      </w:r>
      <w:proofErr w:type="spellEnd"/>
      <w:r w:rsidRPr="00885605">
        <w:rPr>
          <w:rFonts w:ascii="Times New Roman" w:hAnsi="Times New Roman"/>
          <w:i/>
          <w:sz w:val="24"/>
          <w:szCs w:val="24"/>
        </w:rPr>
        <w:t xml:space="preserve"> </w:t>
      </w:r>
      <w:r w:rsidRPr="00885605">
        <w:rPr>
          <w:rFonts w:ascii="Times New Roman" w:hAnsi="Times New Roman"/>
          <w:sz w:val="24"/>
          <w:szCs w:val="24"/>
        </w:rPr>
        <w:t xml:space="preserve">– W trakcie sezonu jesiennego wykonać 8 kontroli terenowych. Liczenia wykonać w okresie od lipca do września. Wiosną wykonać 6 liczeń w okresie od 10 kwietnia do końca maja. Liczenia prowadzić podczas wieczornych zgrupowań ptaków na noclegowiskach. Liczenia na noclegowiskach można uzupełniać kontrolami przeprowadzonymi w ciągu dnia na żerowiskach. Monitoringiem objąć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w:t>
      </w:r>
    </w:p>
    <w:p w:rsidR="00885605" w:rsidRPr="00885605" w:rsidRDefault="00A42B08"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migrującej kulika wielkiego </w:t>
      </w:r>
      <w:proofErr w:type="spellStart"/>
      <w:r w:rsidRPr="00885605">
        <w:rPr>
          <w:rFonts w:ascii="Times New Roman" w:hAnsi="Times New Roman"/>
          <w:i/>
          <w:sz w:val="24"/>
          <w:szCs w:val="24"/>
        </w:rPr>
        <w:t>Numenius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arquata</w:t>
      </w:r>
      <w:proofErr w:type="spellEnd"/>
      <w:r w:rsidRPr="00885605">
        <w:rPr>
          <w:rFonts w:ascii="Times New Roman" w:hAnsi="Times New Roman"/>
          <w:i/>
          <w:sz w:val="24"/>
          <w:szCs w:val="24"/>
        </w:rPr>
        <w:t xml:space="preserve"> </w:t>
      </w:r>
      <w:r w:rsidRPr="00885605">
        <w:rPr>
          <w:rFonts w:ascii="Times New Roman" w:hAnsi="Times New Roman"/>
          <w:sz w:val="24"/>
          <w:szCs w:val="24"/>
        </w:rPr>
        <w:t>– należy wykonać w okresie wiosennym 6 kontroli terenowych, ro</w:t>
      </w:r>
      <w:r w:rsidR="006228A5">
        <w:rPr>
          <w:rFonts w:ascii="Times New Roman" w:hAnsi="Times New Roman"/>
          <w:sz w:val="24"/>
          <w:szCs w:val="24"/>
        </w:rPr>
        <w:t>zpoczynając w 2 dekadzie marca, a</w:t>
      </w:r>
      <w:r w:rsidRPr="00885605">
        <w:rPr>
          <w:rFonts w:ascii="Times New Roman" w:hAnsi="Times New Roman"/>
          <w:sz w:val="24"/>
          <w:szCs w:val="24"/>
        </w:rPr>
        <w:t xml:space="preserve"> kończąc w 1 dekadzie maja. W okresie jesiennych wędrówek wykonać 7 kontroli terenowych: 3 w sierpniu, jedną na koniec września i 3 w październiku. Kontrole należy rozpoczynać w godzinach porannych</w:t>
      </w:r>
      <w:r w:rsidR="00822F4F" w:rsidRPr="00885605">
        <w:rPr>
          <w:rFonts w:ascii="Times New Roman" w:hAnsi="Times New Roman"/>
          <w:sz w:val="24"/>
          <w:szCs w:val="24"/>
        </w:rPr>
        <w:t>. Monitoringiem objąć dogodne żerowiska występujące w obszarze (również te powstające okresowo).</w:t>
      </w:r>
    </w:p>
    <w:p w:rsidR="00885605" w:rsidRPr="00885605" w:rsidRDefault="00393D95"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lęgowej gęgawy </w:t>
      </w:r>
      <w:proofErr w:type="spellStart"/>
      <w:r w:rsidR="00515A3A" w:rsidRPr="00885605">
        <w:rPr>
          <w:rFonts w:ascii="Times New Roman" w:hAnsi="Times New Roman"/>
          <w:i/>
          <w:sz w:val="24"/>
          <w:szCs w:val="24"/>
        </w:rPr>
        <w:t>Anser</w:t>
      </w:r>
      <w:proofErr w:type="spellEnd"/>
      <w:r w:rsidR="00515A3A" w:rsidRPr="00885605">
        <w:rPr>
          <w:rFonts w:ascii="Times New Roman" w:hAnsi="Times New Roman"/>
          <w:i/>
          <w:sz w:val="24"/>
          <w:szCs w:val="24"/>
        </w:rPr>
        <w:t xml:space="preserve"> </w:t>
      </w:r>
      <w:proofErr w:type="spellStart"/>
      <w:r w:rsidR="00515A3A" w:rsidRPr="00885605">
        <w:rPr>
          <w:rFonts w:ascii="Times New Roman" w:hAnsi="Times New Roman"/>
          <w:i/>
          <w:sz w:val="24"/>
          <w:szCs w:val="24"/>
        </w:rPr>
        <w:t>anser</w:t>
      </w:r>
      <w:proofErr w:type="spellEnd"/>
      <w:r w:rsidR="00515A3A" w:rsidRPr="00885605">
        <w:rPr>
          <w:rFonts w:ascii="Times New Roman" w:hAnsi="Times New Roman"/>
          <w:i/>
          <w:sz w:val="24"/>
          <w:szCs w:val="24"/>
        </w:rPr>
        <w:t xml:space="preserve"> </w:t>
      </w:r>
      <w:r w:rsidR="00515A3A" w:rsidRPr="00885605">
        <w:rPr>
          <w:rFonts w:ascii="Times New Roman" w:hAnsi="Times New Roman"/>
          <w:sz w:val="24"/>
          <w:szCs w:val="24"/>
        </w:rPr>
        <w:t xml:space="preserve">– kontrole terenowe prowadzić wiosną w okresie marzec – kwiecień, podczas zajmowania stanowisk lęgowych oraz latem w okresie czerwiec </w:t>
      </w:r>
      <w:r w:rsidR="00B41DCB" w:rsidRPr="00885605">
        <w:rPr>
          <w:rFonts w:ascii="Times New Roman" w:hAnsi="Times New Roman"/>
          <w:sz w:val="24"/>
          <w:szCs w:val="24"/>
        </w:rPr>
        <w:t>–</w:t>
      </w:r>
      <w:r w:rsidR="00515A3A" w:rsidRPr="00885605">
        <w:rPr>
          <w:rFonts w:ascii="Times New Roman" w:hAnsi="Times New Roman"/>
          <w:sz w:val="24"/>
          <w:szCs w:val="24"/>
        </w:rPr>
        <w:t xml:space="preserve"> sierpień</w:t>
      </w:r>
      <w:r w:rsidR="00B41DCB" w:rsidRPr="00885605">
        <w:rPr>
          <w:rFonts w:ascii="Times New Roman" w:hAnsi="Times New Roman"/>
          <w:sz w:val="24"/>
          <w:szCs w:val="24"/>
        </w:rPr>
        <w:t xml:space="preserve"> – liczenie ptaków wodzących młode. Liczba kontroli: min. 3 kontrole wiosną oraz 3 latem. Monitoringiem objąć Jezioro </w:t>
      </w:r>
      <w:proofErr w:type="spellStart"/>
      <w:r w:rsidR="00B41DCB" w:rsidRPr="00885605">
        <w:rPr>
          <w:rFonts w:ascii="Times New Roman" w:hAnsi="Times New Roman"/>
          <w:sz w:val="24"/>
          <w:szCs w:val="24"/>
        </w:rPr>
        <w:t>Rakutowskie</w:t>
      </w:r>
      <w:proofErr w:type="spellEnd"/>
      <w:r w:rsidR="00B41DCB" w:rsidRPr="00885605">
        <w:rPr>
          <w:rFonts w:ascii="Times New Roman" w:hAnsi="Times New Roman"/>
          <w:sz w:val="24"/>
          <w:szCs w:val="24"/>
        </w:rPr>
        <w:t xml:space="preserve"> oraz inne mniejsze zbiorniki wodne w obszarze.</w:t>
      </w:r>
    </w:p>
    <w:p w:rsidR="00885605" w:rsidRPr="00885605" w:rsidRDefault="00194475"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lęgowej sieweczki obrożnej </w:t>
      </w:r>
      <w:proofErr w:type="spellStart"/>
      <w:r w:rsidRPr="00885605">
        <w:rPr>
          <w:rFonts w:ascii="Times New Roman" w:hAnsi="Times New Roman"/>
          <w:i/>
          <w:sz w:val="24"/>
          <w:szCs w:val="24"/>
        </w:rPr>
        <w:t>Charadrius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hiaticula</w:t>
      </w:r>
      <w:proofErr w:type="spellEnd"/>
      <w:r w:rsidRPr="00885605">
        <w:rPr>
          <w:rFonts w:ascii="Times New Roman" w:hAnsi="Times New Roman"/>
          <w:i/>
          <w:sz w:val="24"/>
          <w:szCs w:val="24"/>
        </w:rPr>
        <w:t xml:space="preserve"> </w:t>
      </w:r>
      <w:r w:rsidRPr="00885605">
        <w:rPr>
          <w:rFonts w:ascii="Times New Roman" w:hAnsi="Times New Roman"/>
          <w:sz w:val="24"/>
          <w:szCs w:val="24"/>
        </w:rPr>
        <w:t>– należy wykonać 2 kontrole terenowe. Liczenia powinny być wykonywane w 1 dekadzie maja (ewentualnie 3 dekadzie kwietnia) i w 1 dekadzie czerwca. Monitoringiem objąć podmokłe łąki, pastwiska i płycizny zbiorników wodnych w obszarze.</w:t>
      </w:r>
    </w:p>
    <w:p w:rsidR="00885605" w:rsidRPr="00885605" w:rsidRDefault="00194475"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lęgowej rybitwy czarnej </w:t>
      </w:r>
      <w:proofErr w:type="spellStart"/>
      <w:r w:rsidRPr="00885605">
        <w:rPr>
          <w:rFonts w:ascii="Times New Roman" w:hAnsi="Times New Roman"/>
          <w:i/>
          <w:sz w:val="24"/>
          <w:szCs w:val="24"/>
        </w:rPr>
        <w:t>Chlidonias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niger</w:t>
      </w:r>
      <w:proofErr w:type="spellEnd"/>
      <w:r w:rsidRPr="00885605">
        <w:rPr>
          <w:rFonts w:ascii="Times New Roman" w:hAnsi="Times New Roman"/>
          <w:i/>
          <w:sz w:val="24"/>
          <w:szCs w:val="24"/>
        </w:rPr>
        <w:t xml:space="preserve"> </w:t>
      </w:r>
      <w:r w:rsidRPr="00885605">
        <w:rPr>
          <w:rFonts w:ascii="Times New Roman" w:hAnsi="Times New Roman"/>
          <w:sz w:val="24"/>
          <w:szCs w:val="24"/>
        </w:rPr>
        <w:t xml:space="preserve">– należy wykonać 4 kontrole terenowe w okresie od maja do lipca. Podczas kontroli należy dokonać </w:t>
      </w:r>
      <w:r w:rsidRPr="00885605">
        <w:rPr>
          <w:rFonts w:ascii="Times New Roman" w:hAnsi="Times New Roman"/>
          <w:sz w:val="24"/>
          <w:szCs w:val="24"/>
        </w:rPr>
        <w:lastRenderedPageBreak/>
        <w:t xml:space="preserve">lokalizacji wszystkich kolonii lęgowych w obszarze. W każdej kolonii należy przeprowadzić bezpośrednie liczenie gniazd. Liczenia gniazd należy dokonać w drugiej połowie etapu wysiadywania jaj. W przypadku braku możliwości bezpośredniej kontroli kolonii, należy policzyć ptaki wysiadujące gniazda i latające nad nimi. Monitoringiem objąć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 xml:space="preserve"> ora</w:t>
      </w:r>
      <w:r w:rsidR="00B6744A">
        <w:rPr>
          <w:rFonts w:ascii="Times New Roman" w:hAnsi="Times New Roman"/>
          <w:sz w:val="24"/>
          <w:szCs w:val="24"/>
        </w:rPr>
        <w:t>z inne mniejsze zbiorniki wodne</w:t>
      </w:r>
      <w:r w:rsidR="00B6744A">
        <w:rPr>
          <w:rFonts w:ascii="Times New Roman" w:hAnsi="Times New Roman"/>
          <w:sz w:val="24"/>
          <w:szCs w:val="24"/>
        </w:rPr>
        <w:br/>
      </w:r>
      <w:r w:rsidRPr="00885605">
        <w:rPr>
          <w:rFonts w:ascii="Times New Roman" w:hAnsi="Times New Roman"/>
          <w:sz w:val="24"/>
          <w:szCs w:val="24"/>
        </w:rPr>
        <w:t>w obszarze.</w:t>
      </w:r>
    </w:p>
    <w:p w:rsidR="00885605" w:rsidRPr="00885605" w:rsidRDefault="00524A98"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lęgowej kulika wielkiego </w:t>
      </w:r>
      <w:proofErr w:type="spellStart"/>
      <w:r w:rsidRPr="00885605">
        <w:rPr>
          <w:rFonts w:ascii="Times New Roman" w:hAnsi="Times New Roman"/>
          <w:i/>
          <w:sz w:val="24"/>
          <w:szCs w:val="24"/>
        </w:rPr>
        <w:t>Numenius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arquata</w:t>
      </w:r>
      <w:proofErr w:type="spellEnd"/>
      <w:r w:rsidRPr="00885605">
        <w:rPr>
          <w:rFonts w:ascii="Times New Roman" w:hAnsi="Times New Roman"/>
          <w:i/>
          <w:sz w:val="24"/>
          <w:szCs w:val="24"/>
        </w:rPr>
        <w:t xml:space="preserve"> </w:t>
      </w:r>
      <w:r w:rsidRPr="00885605">
        <w:rPr>
          <w:rFonts w:ascii="Times New Roman" w:hAnsi="Times New Roman"/>
          <w:sz w:val="24"/>
          <w:szCs w:val="24"/>
        </w:rPr>
        <w:t xml:space="preserve">– należy wykonać 3 kontrole terenowe w okresie: 10-20 kwietnia, 1-10 maja, 1-10 czerwca. Kontrole można prowadzić w ciągu całego dnia. Przy upalnej pogodzie kontrole prowadzone w środku dnia (11:00-15:00) są mało efektywne i należy ich unikać. Na badanej powierzchni należy wyznaczyć </w:t>
      </w:r>
      <w:proofErr w:type="spellStart"/>
      <w:r w:rsidR="00B53000" w:rsidRPr="00885605">
        <w:rPr>
          <w:rFonts w:ascii="Times New Roman" w:hAnsi="Times New Roman"/>
          <w:sz w:val="24"/>
          <w:szCs w:val="24"/>
        </w:rPr>
        <w:t>transekty</w:t>
      </w:r>
      <w:proofErr w:type="spellEnd"/>
      <w:r w:rsidR="00B53000" w:rsidRPr="00885605">
        <w:rPr>
          <w:rFonts w:ascii="Times New Roman" w:hAnsi="Times New Roman"/>
          <w:sz w:val="24"/>
          <w:szCs w:val="24"/>
        </w:rPr>
        <w:t>, które powinny objąć całość dogodnych siedlisk lęgowych (łąk). Podczas kontroli terenowej zapisywać na mapie wszystkie widziane lub słyszane osobniki w podziale na: ptaki odzywające się głosem godowym, ptaki tworzące parę/trzymające się razem (jeden osobnik podążający za drugim), ptaki niepokojące się przy pisklętach (głosy zaniepokojenia, oblatywanie obserwatora), ptaki pojedyncze („samotne” nie podążające za innym ptakiem). Monitoringiem objąć wszystkie kompleksy łąk stanowiące potencjalne siedlisko gatunku w obszarze.</w:t>
      </w:r>
    </w:p>
    <w:p w:rsidR="00885605" w:rsidRPr="00885605" w:rsidRDefault="00822F4F"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lęgowej bąka </w:t>
      </w:r>
      <w:proofErr w:type="spellStart"/>
      <w:r w:rsidRPr="00885605">
        <w:rPr>
          <w:rFonts w:ascii="Times New Roman" w:hAnsi="Times New Roman"/>
          <w:i/>
          <w:sz w:val="24"/>
          <w:szCs w:val="24"/>
        </w:rPr>
        <w:t>Botaurus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stellaris</w:t>
      </w:r>
      <w:proofErr w:type="spellEnd"/>
      <w:r w:rsidRPr="00885605">
        <w:rPr>
          <w:rFonts w:ascii="Times New Roman" w:hAnsi="Times New Roman"/>
          <w:i/>
          <w:sz w:val="24"/>
          <w:szCs w:val="24"/>
        </w:rPr>
        <w:t xml:space="preserve"> </w:t>
      </w:r>
      <w:r w:rsidRPr="00885605">
        <w:rPr>
          <w:rFonts w:ascii="Times New Roman" w:hAnsi="Times New Roman"/>
          <w:sz w:val="24"/>
          <w:szCs w:val="24"/>
        </w:rPr>
        <w:t xml:space="preserve">– ocenę liczby „buczących” samców należy wykonać za pomocą techniki mapowania terytoriów godowych dokonanej z </w:t>
      </w:r>
      <w:proofErr w:type="spellStart"/>
      <w:r w:rsidRPr="00885605">
        <w:rPr>
          <w:rFonts w:ascii="Times New Roman" w:hAnsi="Times New Roman"/>
          <w:sz w:val="24"/>
          <w:szCs w:val="24"/>
        </w:rPr>
        <w:t>transektu</w:t>
      </w:r>
      <w:proofErr w:type="spellEnd"/>
      <w:r w:rsidRPr="00885605">
        <w:rPr>
          <w:rFonts w:ascii="Times New Roman" w:hAnsi="Times New Roman"/>
          <w:sz w:val="24"/>
          <w:szCs w:val="24"/>
        </w:rPr>
        <w:t xml:space="preserve"> wodnego wyznaczonego wzdłuż szuwarów zbiorników wodnych. W przypadku mniejszych zbiorników wodnych można kontrolować z brzegu wyznaczając punkt nasłuchowy. Należy przeprowadzić 3 kontrole wyznaczonych </w:t>
      </w:r>
      <w:proofErr w:type="spellStart"/>
      <w:r w:rsidRPr="00885605">
        <w:rPr>
          <w:rFonts w:ascii="Times New Roman" w:hAnsi="Times New Roman"/>
          <w:sz w:val="24"/>
          <w:szCs w:val="24"/>
        </w:rPr>
        <w:t>transektów</w:t>
      </w:r>
      <w:proofErr w:type="spellEnd"/>
      <w:r w:rsidRPr="00885605">
        <w:rPr>
          <w:rFonts w:ascii="Times New Roman" w:hAnsi="Times New Roman"/>
          <w:sz w:val="24"/>
          <w:szCs w:val="24"/>
        </w:rPr>
        <w:t xml:space="preserve"> i punktów nasłuchowych. Pierwszą kontrolę przeprowadzić w ostatniej dekadzie kwietnia (kontrola poranna), drugą w pierwszej dekadzie maja (kontrola wieczorna) i ostatnią w drugiej dekadzie maja (kontrola poranna). </w:t>
      </w:r>
      <w:bookmarkStart w:id="0" w:name="_Hlk489006369"/>
      <w:r w:rsidRPr="00885605">
        <w:rPr>
          <w:rFonts w:ascii="Times New Roman" w:hAnsi="Times New Roman"/>
          <w:sz w:val="24"/>
          <w:szCs w:val="24"/>
        </w:rPr>
        <w:t xml:space="preserve">Monitoringiem objąć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 xml:space="preserve"> oraz inne zbiorniki wodne w obszarze</w:t>
      </w:r>
      <w:bookmarkEnd w:id="0"/>
      <w:r w:rsidRPr="00885605">
        <w:rPr>
          <w:rFonts w:ascii="Times New Roman" w:hAnsi="Times New Roman"/>
          <w:sz w:val="24"/>
          <w:szCs w:val="24"/>
        </w:rPr>
        <w:t>.</w:t>
      </w:r>
    </w:p>
    <w:p w:rsidR="00885605" w:rsidRPr="00885605" w:rsidRDefault="00822F4F"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populacji lęgowej zielonki </w:t>
      </w:r>
      <w:proofErr w:type="spellStart"/>
      <w:r w:rsidRPr="00885605">
        <w:rPr>
          <w:rFonts w:ascii="Times New Roman" w:hAnsi="Times New Roman"/>
          <w:i/>
          <w:sz w:val="24"/>
          <w:szCs w:val="24"/>
        </w:rPr>
        <w:t>Porzana</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parva</w:t>
      </w:r>
      <w:proofErr w:type="spellEnd"/>
      <w:r w:rsidRPr="00885605">
        <w:rPr>
          <w:rFonts w:ascii="Times New Roman" w:hAnsi="Times New Roman"/>
          <w:i/>
          <w:sz w:val="24"/>
          <w:szCs w:val="24"/>
        </w:rPr>
        <w:t xml:space="preserve"> </w:t>
      </w:r>
      <w:r w:rsidRPr="00885605">
        <w:rPr>
          <w:rFonts w:ascii="Times New Roman" w:hAnsi="Times New Roman"/>
          <w:i/>
          <w:sz w:val="24"/>
          <w:szCs w:val="24"/>
        </w:rPr>
        <w:softHyphen/>
      </w:r>
      <w:r w:rsidRPr="00885605">
        <w:rPr>
          <w:rFonts w:ascii="Times New Roman" w:hAnsi="Times New Roman"/>
          <w:sz w:val="24"/>
          <w:szCs w:val="24"/>
        </w:rPr>
        <w:t xml:space="preserve">– należy wykonać 2 kontrole terenowe w maju, w odstępie 10-15 dni między nimi. Kontrole prowadzić po zachodzie słońca i kontynuować przez całą noc. Kontrole prowadzić z </w:t>
      </w:r>
      <w:proofErr w:type="spellStart"/>
      <w:r w:rsidRPr="00885605">
        <w:rPr>
          <w:rFonts w:ascii="Times New Roman" w:hAnsi="Times New Roman"/>
          <w:sz w:val="24"/>
          <w:szCs w:val="24"/>
        </w:rPr>
        <w:t>transektu</w:t>
      </w:r>
      <w:proofErr w:type="spellEnd"/>
      <w:r w:rsidRPr="00885605">
        <w:rPr>
          <w:rFonts w:ascii="Times New Roman" w:hAnsi="Times New Roman"/>
          <w:sz w:val="24"/>
          <w:szCs w:val="24"/>
        </w:rPr>
        <w:t xml:space="preserve"> wodnego wyznaczonego wzdłuż szuwarów zbiorników wodnych. W trakcie kontroli należy stosować stymulację głosową, która zdecydowanie podnosi jej wykrywalność. Punkty, na których emitowany będzie głos zielonki należy wyznaczyć nie rzadziej niż co 100 m. Odtwarzanie głosu należy prowadzić przez 3 minuty i tyle samo powinien trwać nasłuch. </w:t>
      </w:r>
      <w:r w:rsidR="00351263" w:rsidRPr="00885605">
        <w:rPr>
          <w:rFonts w:ascii="Times New Roman" w:hAnsi="Times New Roman"/>
          <w:sz w:val="24"/>
          <w:szCs w:val="24"/>
        </w:rPr>
        <w:t xml:space="preserve">Monitoringiem objąć Jezioro </w:t>
      </w:r>
      <w:proofErr w:type="spellStart"/>
      <w:r w:rsidR="00351263" w:rsidRPr="00885605">
        <w:rPr>
          <w:rFonts w:ascii="Times New Roman" w:hAnsi="Times New Roman"/>
          <w:sz w:val="24"/>
          <w:szCs w:val="24"/>
        </w:rPr>
        <w:t>Rakuto</w:t>
      </w:r>
      <w:r w:rsidR="00B6744A">
        <w:rPr>
          <w:rFonts w:ascii="Times New Roman" w:hAnsi="Times New Roman"/>
          <w:sz w:val="24"/>
          <w:szCs w:val="24"/>
        </w:rPr>
        <w:t>wskie</w:t>
      </w:r>
      <w:proofErr w:type="spellEnd"/>
      <w:r w:rsidR="00B6744A">
        <w:rPr>
          <w:rFonts w:ascii="Times New Roman" w:hAnsi="Times New Roman"/>
          <w:sz w:val="24"/>
          <w:szCs w:val="24"/>
        </w:rPr>
        <w:t xml:space="preserve"> oraz inne zbiorniki wodne</w:t>
      </w:r>
      <w:r w:rsidR="00B6744A">
        <w:rPr>
          <w:rFonts w:ascii="Times New Roman" w:hAnsi="Times New Roman"/>
          <w:sz w:val="24"/>
          <w:szCs w:val="24"/>
        </w:rPr>
        <w:br/>
      </w:r>
      <w:r w:rsidR="00351263" w:rsidRPr="00885605">
        <w:rPr>
          <w:rFonts w:ascii="Times New Roman" w:hAnsi="Times New Roman"/>
          <w:sz w:val="24"/>
          <w:szCs w:val="24"/>
        </w:rPr>
        <w:t>w obszarze.</w:t>
      </w:r>
    </w:p>
    <w:p w:rsidR="00885605" w:rsidRPr="00885605" w:rsidRDefault="003C1D2C"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Uzupełnienie stanu wiedzy </w:t>
      </w:r>
      <w:r w:rsidR="00E37AF8" w:rsidRPr="00885605">
        <w:rPr>
          <w:rFonts w:ascii="Times New Roman" w:hAnsi="Times New Roman"/>
          <w:sz w:val="24"/>
          <w:szCs w:val="24"/>
        </w:rPr>
        <w:t xml:space="preserve">o populacji lęgowej podróżniczka </w:t>
      </w:r>
      <w:proofErr w:type="spellStart"/>
      <w:r w:rsidR="00E37AF8" w:rsidRPr="00885605">
        <w:rPr>
          <w:rFonts w:ascii="Times New Roman" w:hAnsi="Times New Roman"/>
          <w:i/>
          <w:sz w:val="24"/>
          <w:szCs w:val="24"/>
        </w:rPr>
        <w:t>Luscinia</w:t>
      </w:r>
      <w:proofErr w:type="spellEnd"/>
      <w:r w:rsidR="00E37AF8" w:rsidRPr="00885605">
        <w:rPr>
          <w:rFonts w:ascii="Times New Roman" w:hAnsi="Times New Roman"/>
          <w:i/>
          <w:sz w:val="24"/>
          <w:szCs w:val="24"/>
        </w:rPr>
        <w:t xml:space="preserve"> </w:t>
      </w:r>
      <w:proofErr w:type="spellStart"/>
      <w:r w:rsidR="00E37AF8" w:rsidRPr="00885605">
        <w:rPr>
          <w:rFonts w:ascii="Times New Roman" w:hAnsi="Times New Roman"/>
          <w:i/>
          <w:sz w:val="24"/>
          <w:szCs w:val="24"/>
        </w:rPr>
        <w:t>svecica</w:t>
      </w:r>
      <w:proofErr w:type="spellEnd"/>
      <w:r w:rsidR="00E37AF8" w:rsidRPr="00885605">
        <w:rPr>
          <w:rFonts w:ascii="Times New Roman" w:hAnsi="Times New Roman"/>
          <w:i/>
          <w:sz w:val="24"/>
          <w:szCs w:val="24"/>
        </w:rPr>
        <w:t xml:space="preserve"> </w:t>
      </w:r>
      <w:r w:rsidR="00E37AF8" w:rsidRPr="00885605">
        <w:rPr>
          <w:rFonts w:ascii="Times New Roman" w:hAnsi="Times New Roman"/>
          <w:sz w:val="24"/>
          <w:szCs w:val="24"/>
        </w:rPr>
        <w:t>– Monitoring stanu ochrony wraz z oceną liczebnośc</w:t>
      </w:r>
      <w:r w:rsidR="00B6744A">
        <w:rPr>
          <w:rFonts w:ascii="Times New Roman" w:hAnsi="Times New Roman"/>
          <w:sz w:val="24"/>
          <w:szCs w:val="24"/>
        </w:rPr>
        <w:t>i gatunku i jego rozmieszczenia</w:t>
      </w:r>
      <w:r w:rsidR="00B6744A">
        <w:rPr>
          <w:rFonts w:ascii="Times New Roman" w:hAnsi="Times New Roman"/>
          <w:sz w:val="24"/>
          <w:szCs w:val="24"/>
        </w:rPr>
        <w:br/>
      </w:r>
      <w:r w:rsidR="00E37AF8" w:rsidRPr="00885605">
        <w:rPr>
          <w:rFonts w:ascii="Times New Roman" w:hAnsi="Times New Roman"/>
          <w:sz w:val="24"/>
          <w:szCs w:val="24"/>
        </w:rPr>
        <w:t xml:space="preserve">w obszarze. Ocena liczebności w obszarze w oparciu o inwentaryzację gatunku. Inwentaryzacją objąć wszystkie potencjalne siedliska gatunku, w szczególności rozległe obszary szuwaru trzcinowego rosnącego w mozaice z zaroślami wierzbowymi oraz lasy bagienne z drzewostanem o niskim zwarciu, dobrze rozwiniętą warstwą wysokiej roślinności zielnej i licznymi płytkimi zastoiskami wodnymi. </w:t>
      </w:r>
      <w:r w:rsidR="00B6744A">
        <w:rPr>
          <w:rFonts w:ascii="Times New Roman" w:hAnsi="Times New Roman"/>
          <w:sz w:val="24"/>
          <w:szCs w:val="24"/>
        </w:rPr>
        <w:t>Kontrole terenowe</w:t>
      </w:r>
      <w:r w:rsidR="00B6744A">
        <w:rPr>
          <w:rFonts w:ascii="Times New Roman" w:hAnsi="Times New Roman"/>
          <w:sz w:val="24"/>
          <w:szCs w:val="24"/>
        </w:rPr>
        <w:br/>
      </w:r>
      <w:r w:rsidR="00D05CC1" w:rsidRPr="00885605">
        <w:rPr>
          <w:rFonts w:ascii="Times New Roman" w:hAnsi="Times New Roman"/>
          <w:sz w:val="24"/>
          <w:szCs w:val="24"/>
        </w:rPr>
        <w:lastRenderedPageBreak/>
        <w:t>z zastosowaniem metody szybkiego kartowania prowadzić w okresie od 20 kwietnia do 10 maja i od końca maja do 15 czerwca. Liczba kontroli terenowych: min. 3. Kontrolę prowadzić w godzinach około świtu (3:00-6:00), godzinach porannych (6:00-11:00) lub wieczornych (19:00-21:00).</w:t>
      </w:r>
    </w:p>
    <w:p w:rsidR="006A6F49" w:rsidRPr="00885605" w:rsidRDefault="00D05CC1"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Uzupełnienie stanu wiedzy o populacji lęgowej i migrującej cyraneczki </w:t>
      </w:r>
      <w:proofErr w:type="spellStart"/>
      <w:r w:rsidRPr="00885605">
        <w:rPr>
          <w:rFonts w:ascii="Times New Roman" w:hAnsi="Times New Roman"/>
          <w:i/>
          <w:sz w:val="24"/>
          <w:szCs w:val="24"/>
        </w:rPr>
        <w:t>Anas</w:t>
      </w:r>
      <w:proofErr w:type="spellEnd"/>
      <w:r w:rsidRPr="00885605">
        <w:rPr>
          <w:rFonts w:ascii="Times New Roman" w:hAnsi="Times New Roman"/>
          <w:i/>
          <w:sz w:val="24"/>
          <w:szCs w:val="24"/>
        </w:rPr>
        <w:t xml:space="preserve"> </w:t>
      </w:r>
      <w:proofErr w:type="spellStart"/>
      <w:r w:rsidRPr="00885605">
        <w:rPr>
          <w:rFonts w:ascii="Times New Roman" w:hAnsi="Times New Roman"/>
          <w:i/>
          <w:sz w:val="24"/>
          <w:szCs w:val="24"/>
        </w:rPr>
        <w:t>crecca</w:t>
      </w:r>
      <w:proofErr w:type="spellEnd"/>
      <w:r w:rsidR="00B6744A">
        <w:rPr>
          <w:rFonts w:ascii="Times New Roman" w:hAnsi="Times New Roman"/>
          <w:i/>
          <w:sz w:val="24"/>
          <w:szCs w:val="24"/>
        </w:rPr>
        <w:br/>
      </w:r>
      <w:r w:rsidR="006A6F49" w:rsidRPr="00885605">
        <w:rPr>
          <w:rFonts w:ascii="Times New Roman" w:hAnsi="Times New Roman"/>
          <w:sz w:val="24"/>
          <w:szCs w:val="24"/>
        </w:rPr>
        <w:t xml:space="preserve">i głowienki </w:t>
      </w:r>
      <w:proofErr w:type="spellStart"/>
      <w:r w:rsidR="006A6F49" w:rsidRPr="00885605">
        <w:rPr>
          <w:rFonts w:ascii="Times New Roman" w:hAnsi="Times New Roman"/>
          <w:i/>
          <w:sz w:val="24"/>
          <w:szCs w:val="24"/>
        </w:rPr>
        <w:t>Aythya</w:t>
      </w:r>
      <w:proofErr w:type="spellEnd"/>
      <w:r w:rsidR="006A6F49" w:rsidRPr="00885605">
        <w:rPr>
          <w:rFonts w:ascii="Times New Roman" w:hAnsi="Times New Roman"/>
          <w:i/>
          <w:sz w:val="24"/>
          <w:szCs w:val="24"/>
        </w:rPr>
        <w:t xml:space="preserve"> </w:t>
      </w:r>
      <w:proofErr w:type="spellStart"/>
      <w:r w:rsidR="006A6F49" w:rsidRPr="00885605">
        <w:rPr>
          <w:rFonts w:ascii="Times New Roman" w:hAnsi="Times New Roman"/>
          <w:i/>
          <w:sz w:val="24"/>
          <w:szCs w:val="24"/>
        </w:rPr>
        <w:t>ferina</w:t>
      </w:r>
      <w:proofErr w:type="spellEnd"/>
      <w:r w:rsidR="006A6F49" w:rsidRPr="00885605">
        <w:rPr>
          <w:rFonts w:ascii="Times New Roman" w:hAnsi="Times New Roman"/>
          <w:i/>
          <w:sz w:val="24"/>
          <w:szCs w:val="24"/>
        </w:rPr>
        <w:t xml:space="preserve"> </w:t>
      </w:r>
      <w:r w:rsidRPr="00885605">
        <w:rPr>
          <w:rFonts w:ascii="Times New Roman" w:hAnsi="Times New Roman"/>
          <w:sz w:val="24"/>
          <w:szCs w:val="24"/>
        </w:rPr>
        <w:t xml:space="preserve">– ocena liczebności i rozmieszczenia cyraneczki w obszarze. Ocena liczebności w obszarze w oparciu o inwentaryzację gatunku. Inwentaryzacją objąć populację lęgową i migrującą. Inwentaryzacja objąć wszystkie potencjalne siedliska gatunku – wszystkie zbiorniki </w:t>
      </w:r>
      <w:r w:rsidR="006A6F49" w:rsidRPr="00885605">
        <w:rPr>
          <w:rFonts w:ascii="Times New Roman" w:hAnsi="Times New Roman"/>
          <w:sz w:val="24"/>
          <w:szCs w:val="24"/>
        </w:rPr>
        <w:t>wodne w granicach obszaru z uwzględnieniem następujących założeń metodycznych:</w:t>
      </w:r>
    </w:p>
    <w:p w:rsidR="006A6F49" w:rsidRPr="00885605" w:rsidRDefault="00E86510" w:rsidP="006A6F49">
      <w:pPr>
        <w:pStyle w:val="Akapitzlist"/>
        <w:numPr>
          <w:ilvl w:val="0"/>
          <w:numId w:val="29"/>
        </w:numPr>
        <w:jc w:val="both"/>
        <w:rPr>
          <w:rFonts w:ascii="Times New Roman" w:hAnsi="Times New Roman"/>
          <w:sz w:val="24"/>
          <w:szCs w:val="24"/>
        </w:rPr>
      </w:pPr>
      <w:r>
        <w:rPr>
          <w:rFonts w:ascii="Times New Roman" w:hAnsi="Times New Roman"/>
          <w:sz w:val="24"/>
          <w:szCs w:val="24"/>
        </w:rPr>
        <w:t>populacje lęgowe</w:t>
      </w:r>
      <w:r w:rsidR="006A6F49" w:rsidRPr="00885605">
        <w:rPr>
          <w:rFonts w:ascii="Times New Roman" w:hAnsi="Times New Roman"/>
          <w:sz w:val="24"/>
          <w:szCs w:val="24"/>
        </w:rPr>
        <w:t xml:space="preserve"> - należy wykonać 3 kontrole terenowe z miesięczną przerwą między nimi. Pierwszą kontrolę należy przeprowadzić w 2 dekadzie kwietnia. Podczas kontroli należy notować wszystkie </w:t>
      </w:r>
      <w:r w:rsidR="00B6744A">
        <w:rPr>
          <w:rFonts w:ascii="Times New Roman" w:hAnsi="Times New Roman"/>
          <w:sz w:val="24"/>
          <w:szCs w:val="24"/>
        </w:rPr>
        <w:t>obserwacje gatunku z informacją</w:t>
      </w:r>
      <w:r w:rsidR="00B6744A">
        <w:rPr>
          <w:rFonts w:ascii="Times New Roman" w:hAnsi="Times New Roman"/>
          <w:sz w:val="24"/>
          <w:szCs w:val="24"/>
        </w:rPr>
        <w:br/>
      </w:r>
      <w:r w:rsidR="006A6F49" w:rsidRPr="00885605">
        <w:rPr>
          <w:rFonts w:ascii="Times New Roman" w:hAnsi="Times New Roman"/>
          <w:sz w:val="24"/>
          <w:szCs w:val="24"/>
        </w:rPr>
        <w:t>o płci, liczebności i składzie grup ptaków.</w:t>
      </w:r>
    </w:p>
    <w:p w:rsidR="00885605" w:rsidRPr="00885605" w:rsidRDefault="00E86510" w:rsidP="00885605">
      <w:pPr>
        <w:pStyle w:val="Akapitzlist"/>
        <w:numPr>
          <w:ilvl w:val="0"/>
          <w:numId w:val="29"/>
        </w:numPr>
        <w:jc w:val="both"/>
        <w:rPr>
          <w:rFonts w:ascii="Times New Roman" w:hAnsi="Times New Roman"/>
          <w:sz w:val="24"/>
          <w:szCs w:val="24"/>
        </w:rPr>
      </w:pPr>
      <w:r>
        <w:rPr>
          <w:rFonts w:ascii="Times New Roman" w:hAnsi="Times New Roman"/>
          <w:sz w:val="24"/>
          <w:szCs w:val="24"/>
        </w:rPr>
        <w:t>populacje migrujące</w:t>
      </w:r>
      <w:r w:rsidR="006A6F49" w:rsidRPr="00885605">
        <w:rPr>
          <w:rFonts w:ascii="Times New Roman" w:hAnsi="Times New Roman"/>
          <w:sz w:val="24"/>
          <w:szCs w:val="24"/>
        </w:rPr>
        <w:t xml:space="preserve"> - należy wykonać 5 kontroli terenowych wiosną: dwie kontrole w marcu rozpoczynając od 2 dekady, trzy kontrole w kwietniu oraz 6 kontroli terenowych jesienią: trzy w październiku i trzy w listopadzie. Kontrole należy prowadzić w godzinach porannych do wczesnego popołudnia (14:00-15:00).</w:t>
      </w:r>
    </w:p>
    <w:p w:rsidR="00381FCF" w:rsidRPr="00381FCF" w:rsidRDefault="006A6F49" w:rsidP="00381FCF">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Ustalenie lokalizacji i wyznaczenie powierzchni </w:t>
      </w:r>
      <w:r w:rsidR="00B6744A">
        <w:rPr>
          <w:rFonts w:ascii="Times New Roman" w:hAnsi="Times New Roman"/>
          <w:sz w:val="24"/>
          <w:szCs w:val="24"/>
        </w:rPr>
        <w:t>wymagających działań związanych</w:t>
      </w:r>
      <w:r w:rsidR="00B6744A">
        <w:rPr>
          <w:rFonts w:ascii="Times New Roman" w:hAnsi="Times New Roman"/>
          <w:sz w:val="24"/>
          <w:szCs w:val="24"/>
        </w:rPr>
        <w:br/>
      </w:r>
      <w:r w:rsidRPr="00885605">
        <w:rPr>
          <w:rFonts w:ascii="Times New Roman" w:hAnsi="Times New Roman"/>
          <w:sz w:val="24"/>
          <w:szCs w:val="24"/>
        </w:rPr>
        <w:t>z odtworzeniem siedlisk łąkowych dla następujących gatunków: płaskonos (populacja migrująca), gęgawa (populacja lęgowa i migrująca), gęś zbożowa (populacja migrująca), żuraw (populacja migrująca), kulik wielki (populacja lęgowa i migrująca), podróżniczek (populacja lęgowa). Powierzchnie należy wyznaczyć na podstawie danych zebranych w ramach przeprowadzonych badań, w razie potrzeby uzupełnionych dodatkowymi obserwacjami w obrębie działek ewidencyjnych:</w:t>
      </w:r>
    </w:p>
    <w:p w:rsidR="00381FCF" w:rsidRDefault="00381FCF" w:rsidP="00381FCF">
      <w:pPr>
        <w:pStyle w:val="Akapitzlist"/>
        <w:jc w:val="both"/>
        <w:rPr>
          <w:rFonts w:ascii="Times New Roman" w:hAnsi="Times New Roman"/>
          <w:sz w:val="24"/>
          <w:szCs w:val="24"/>
        </w:rPr>
      </w:pPr>
      <w:r>
        <w:rPr>
          <w:rFonts w:ascii="Times New Roman" w:hAnsi="Times New Roman"/>
          <w:sz w:val="24"/>
          <w:szCs w:val="24"/>
        </w:rPr>
        <w:t>Gmina Kowal:</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Krzewent (0018): 1, 9, 134, 137, 138, 139, 140, 141, 143, 144, 145, 146, 147, 148, 149, 150, 151, 152, 153, 154, 155, 156, 157, 158, 159, 160, 161, 162, 163, 164, 166, 167, 168, 169, 170, 173, 174, 175, 176, 177, 178, 179, 180, 181, 183, 184, 185, 186, 189, 191, 192, 193, 194, 195, 196, 197, 198, 199, 200, 201, 202, 204, 205, 206, 207, 210, 211, 212, 213, 214, 215, 216, 217, 218, 219, 220, 221, 222, 224, 225, 226, 227, 228, 229, 230, 231, 233, 234, 235, 236, 237, 238, 239, 240, 241, 242, 243, 244, 245, 247, 248, 249, 250, 251, 252, 253, 254, 255, 256, 258, 260, 261, 262, 263, 264, 265, 266, 267, 268, 269, 270, 271, 272, 273, 274, 275, 276, 277, 278, 279, 280, 281, 283, 284, 285, 286, 287, 288, 289, 290, 291, 292, 293, 294, 295, 296, 297, 135/2, 136/4, 142/1, 142/2, 142/3, 165/1, 165/2, 182/1, 182/2, 187/4, 188/2, 190/2, 203/2, 208/4, 209/2, 209/4, 223/1, 223/2, 223/3, 232/1, 232/2, 246/1, 246/2, 246/3, 257/1, 257/2, 259/1, 259/2, 282/1, 282/2</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 xml:space="preserve">Obręb Więsławice </w:t>
      </w:r>
      <w:proofErr w:type="spellStart"/>
      <w:r w:rsidRPr="00381FCF">
        <w:rPr>
          <w:rFonts w:ascii="Times New Roman" w:hAnsi="Times New Roman"/>
          <w:sz w:val="24"/>
          <w:szCs w:val="24"/>
        </w:rPr>
        <w:t>Parc</w:t>
      </w:r>
      <w:proofErr w:type="spellEnd"/>
      <w:r w:rsidRPr="00381FCF">
        <w:rPr>
          <w:rFonts w:ascii="Times New Roman" w:hAnsi="Times New Roman"/>
          <w:sz w:val="24"/>
          <w:szCs w:val="24"/>
        </w:rPr>
        <w:t>. (0017): 98, 99, 100, 101, 102, 104, 105, 106, 107, 108, 109, 110, 111, 113, 114, 115, 116, 117, 118, 119, 144, 145, 160, 201, 202, 203, 120/1, 121/13, 121/14, 121/15, 121/16, 121/17, 121/18, 121/19, 121/20, 121/21, 121/22, 128/2, 129/2, 130/1, 132/1, 133/1, 134/1, 135/1, 136/1, 138/1, 139/1, 140/1, 146/1, 153/1, 154/2, 157/1, 159/1, 162/5</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lastRenderedPageBreak/>
        <w:t>Obręb Rakutowo (0013): 205, 219, 449, 450, 451, 452, 453, 454, 455, 456, 457, 458, 459, 460, 461, 462, 463, 464, 514, 520, 532, 533, 534, 535, 536, 537, 538, 539, 540, 541, 542, 543, 544, 545, 546, 547, 548, 549, 550, 551, 552, 553, 554, 555, 556, 557, 558, 559, 560, 561, 562, 563, 564, 565, 566, 567, 568, 569, 570, 571, 572, 573, 574, 575, 576, 581, 582, 583, 584, 585, 586, 587, 588, 589, 590, 591, 592, 593, 594, 595, 596, 602, 603, 604, 605, 606, 607, 608, 609, 610, 611, 612, 613, 614, 615, 616, 622, 623, 624, 625, 626, 627, 628, 629, 630, 631, 632, 633, 634, 635, 636, 637, 638, 639, 640, 641, 642, 643, 644, 645, 646, 647, 648, 649, 650, 651, 652, 653, 660, 661, 662, 663, 664, 665, 666, 667, 668, 669, 670, 671, 672, 673, 674, 675, 676, 677, 678, 683, 684, 685, 686, 687, 688, 690, 697, 698, 699, 700, 701, 702, 703, 704, 707, 708, 709, 710, 711, 720, 721, 722, 723, 724, 725, 726, 727, 728, 729, 730, 731, 732, 733, 734, 735, 736, 737, 738, 739, 740, 741, 742, 743, 744, 745, 752, 753, 754, 755, 756, 757, 758, 759, 760, 761, 762, 763, 764, 765, 767, 768, 769, 770, 771, 772, 773, 774, 775, 776, 777, 778, 779, 780, 781, 783, 784, 785, 786, 787, 788, 789, 790, 791, 792, 795, 808, 809, 810, 811, 812, 813, 814, 815, 816, 817, 818, 819, 820, 821, 822, 823, 824, 825, 826, 827, 828, 829, 830, 831, 832, 833, 834, 835, 836, 837, 838, 841, 842, 843, 844, 845, 846, 847, 849, 850, 851, 852, 853, 854, 855, 857, 858, 859, 860, 861, 862, 863, 865, 866, 867, 868, 869, 870, 871, 872, 873, 874, 875, 876, 877, 878, 879, 880, 881, 882, 883, 884, 885, 886, 887, 888, 889, 890, 891, 892, 893, 894, 895, 896, 898, 899, 900, 901, 902, 903, 904, 905, 907, 908, 909, 910, 911, 912, 913, 914, 916, 917, 918, 919, 920, 921, 922, 923, 924, 925, 926, 927, 928, 934, 948, 950, 951, 952, 953, 954, 955, 956, 957, 958, 960, 961, 962, 963, 965, 966, 967, 968, 969, 970, 971, 973, 976, 977, 979, 980, 981, 982, 984, 985, 986, 987, 988, 989, 990, 992, 994, 996, 997, 998, 1000, 1001, 1002, 1003, 1005, 1006, 1008, 1009, 1010, 1011, 1014, 1016, 1018, 1019, 1021, 1022, 1023, 1024, 1026, 1028, 1034, 1035, 1046, 1047, 1048, 1049, 1050, 1051, 1065, 1099, 1100, 1111, 1118, 1119, 1004/1, 1004/2, 1004/3, 1012/1, 1012/2, 1013/2, 1015/1, 1015/2, 1017/2, 1017/3, 1020/1, 1020/2, 1027/1, 1027/2, 1121/1, 1121/2, 201/1, 217/3, 218/2, 508/1, 508/8, 509/1, 509/2, 510/1, 510/2, 511/1, 511/2, 512/1, 512/2, 521/1, 521/2, 522/1, 522/2, 523/1, 523/2, 524/1, 524/2, 525/1, 525/2, 526/1, 526/2, 530/1, 531/1, 577/1, 580/1, 591/3, 591/4, 642/3, 642/4, 645/3, 645/4, 683/3, 683/4, 689/1, 782/2, 782/3, 782/4, 782/5, 793/2, 800/1, 839/1, 839/2, 848/1, 848/2, 856/1, 856/2, 864/1, 864/2, 897/1, 897/2, 906/1, 906/2, 915/1, 915/2, 949/2, 949/3, 959/1, 959/2, 974/1, 974/2, 975/2, 975/3, 978/1, 978/2, 983/1, 983/2, 993/1, 993/2, 995/1, 995/2</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Dębniaki (0004): 65, 182, 256, 257, 258, 259, 260, 261, 262, 263, 264, 265, 266, 267, 269, 270, 271, 272, 273, 274, 275, 277, 278, 279, 280, 281, 282, 283, 284, 286, 287, 288, 289, 290, 292, 370, 380, 382, 496, 255/3, 291/1, 291/2, 293/1, 293/2, 296/1, 296/2</w:t>
      </w:r>
      <w:r>
        <w:rPr>
          <w:rFonts w:ascii="Times New Roman" w:hAnsi="Times New Roman"/>
          <w:sz w:val="24"/>
          <w:szCs w:val="24"/>
        </w:rPr>
        <w:t>.</w:t>
      </w:r>
    </w:p>
    <w:p w:rsidR="00381FCF" w:rsidRDefault="00381FCF" w:rsidP="00381FCF">
      <w:pPr>
        <w:pStyle w:val="Akapitzlist"/>
        <w:jc w:val="both"/>
        <w:rPr>
          <w:rFonts w:ascii="Times New Roman" w:hAnsi="Times New Roman"/>
          <w:sz w:val="24"/>
          <w:szCs w:val="24"/>
        </w:rPr>
      </w:pPr>
      <w:r>
        <w:rPr>
          <w:rFonts w:ascii="Times New Roman" w:hAnsi="Times New Roman"/>
          <w:sz w:val="24"/>
          <w:szCs w:val="24"/>
        </w:rPr>
        <w:t xml:space="preserve">Gmina Baruchowo: </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 xml:space="preserve">Obręb Baruchowo (0001):  297, 299, 300 </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 xml:space="preserve">Obręb Goreń Nowy (0004): 3, 4, 5, 6, 7, 8, 9, 10, 11, 12, 13, 14, 15, 16, 17, 24, 25, 26, 27, 28, 29, 30, 31, 32, 34, 35, 36, 37, 39, 56, 57, 58, 59, 60, 61, 62, 63, 65, 66, 68, 69, 70, 71, 72, 73, 74, 75, 76, 77, 78, 79, 80, 81, 82, 83, 84, 85, 86, 87, 88, 89, 90, 91, 92, 93, 94, 95, 96, 97, 98, 99, 100, 101, 102, 103, 104, 105, 106, 107, 109, 110, 111, 112, </w:t>
      </w:r>
      <w:r w:rsidRPr="00381FCF">
        <w:rPr>
          <w:rFonts w:ascii="Times New Roman" w:hAnsi="Times New Roman"/>
          <w:sz w:val="24"/>
          <w:szCs w:val="24"/>
        </w:rPr>
        <w:lastRenderedPageBreak/>
        <w:t>113, 114, 115, 116, 117, 118, 119, 120, 121, 122, 124, 149, 151, 153, 154, 155, 156, 157, 158, 159, 160, 164, 165, 166, 167, 168, 169, 170, 171, 172, 173, 174, 175, 177, 33/1, 33/2, 38/2, 64/1, 64/2, 67/2, 108/1, 108/2, 123/2, 123/3, 123/4, 150/1, 152/1, 152/2, 163/1, 163/2, 163/3, 163/4, 163/5, 163/6, 163/7, 163/8, 178/1</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Kłótno (0006) : 1, 2, 3, 4, 5, 6, 7, 8, 9, 10, 11, 12, 13, 14, 15, 21, 22, 23, 24, 25, 26, 27, 28, 29, 30, 31, 32, 33, 34, 35, 36, 37, 38, 39, 41, 42, 43, 44, 45, 46, 47, 48, 49, 50, 51, 52, 53, 54, 55, 56, 57, 58, 59, 60, 61, 62, 63, 64, 65, 66, 67, 68, 69, 70, 71, 87, 88, 98, 99, 100, 101, 102, 103, 105, 106, 107, 108, 109, 110, 111, 112, 113, 114, 115, 116, 117, 118, 119, 120, 121, 122, 123, 124, 125, 126, 127, 129, 130, 131, 132, 133, 134, 135, 136, 137, 138, 139, 140, 141, 142, 143, 144, 145, 146, 147, 148, 149, 150, 151, 152, 153, 154, 155, 156, 157, 158, 159, 160, 161, 162, 163, 164, 165, 166, 167, 168, 169, 170, 171, 172, 173, 174, 175, 176, 177, 178, 289, 290, 291, 292, 522, 523, 586, 587, 588, 589, 590, 594, 595, 596, 597, 599, 605, 606, 607, 608, 609, 610, 611, 612, 613, 40/1, 40/2, 72/2, 74/1, 74/2, 74/3, 74/5, 74/6, 74/9, 104/1, 128/1, 128/2, 288/1, 293/1, 293/2</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Okna (0010): 18, 19, 20, 21, 23, 24, 25, 26, 27, 32, 37, 38, 39, 40, 41, 42, 43, 44, 45, 46, 47, 48, 49, 51, 52, 53, 54, 55, 56, 57, 59, 60, 61, 62, 63, 64, 66, 67, 68, 69, 70, 71, 72, 73, 82, 83, 84, 87, 89, 90, 92, 93, 94, 95, 96, 97, 98, 99, 100, 103, 104, 105, 106, 108, 109, 110, 125, 126, 127, 128, 132, 133, 134, 135, 136, 137, 138, 139, 141, 142, 143, 144, 145, 146, 147, 148, 163, 164, 165, 166, 167, 168, 169, 170, 171, 173, 174, 175, 176, 183, 185, 298, 380, 393, 401, 402, 478, 479, 480, 481, 482, 484, 485, 495, 50/1, 50/2, 58/4, 58/6, 65/1, 65/2, 86/1, 86/2, 86/3, 91/1, 91/2, 22/1, 101/1, 102/2, 102/3, 102/4, 111/2, 140/2, 177/2, 184/1, 184/2</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Skrzynki (0012): 142, 184, 185, 186, 187, 188, 189, 190, 191, 192, 193, 194, 196, 197, 198, 199, 200, 202, 203, 205, 206, 207, 215, 216, 219, 220, 221, 222, 223, 224, 226, 227, 228, 229, 230, 231, 232, 233, 234, 235, 236, 237, 238, 239, 240, 241, 242, 243, 244, 246, 247, 248, 249, 250, 252, 253, 255, 256, 257, 258, 259, 260, 261, 263, 264, 265, 266, 267, 268, 269, 195/1, 195/2, 201/1, 201/2, 201/3, 204/1, 204/2, 204/3, 204/4, 225/1, 225/2, 245/1, 245/2, 251/1, 251/2, 251/3, 254/1, 254/2, 254/3, 254/4, 262/1, 262/2</w:t>
      </w:r>
      <w:r>
        <w:rPr>
          <w:rFonts w:ascii="Times New Roman" w:hAnsi="Times New Roman"/>
          <w:sz w:val="24"/>
          <w:szCs w:val="24"/>
        </w:rPr>
        <w:t>.</w:t>
      </w:r>
    </w:p>
    <w:p w:rsidR="00381FCF" w:rsidRPr="00381FCF"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Świątkowice (0013):  1, 2, 3, 4, 17, 172, 491, 492, 493, 494, 495, 496, 497, 498, 499, 500, 501, 502, 503, 504, 505, 506, 507, 508, 509, 510, 511, 512, 513, 514, 515, 516, 517, 518, 557, 558, 559, 560, 561, 568, 20/2, 22/2, 562/1, 562/10, 562/11, 562/12, 562/2, 562/3, 562/4, 562/5, 562/6, 562/7, 562/8, 562/9</w:t>
      </w:r>
    </w:p>
    <w:p w:rsidR="00885605" w:rsidRPr="00885605" w:rsidRDefault="00381FCF" w:rsidP="00381FCF">
      <w:pPr>
        <w:pStyle w:val="Akapitzlist"/>
        <w:jc w:val="both"/>
        <w:rPr>
          <w:rFonts w:ascii="Times New Roman" w:hAnsi="Times New Roman"/>
          <w:sz w:val="24"/>
          <w:szCs w:val="24"/>
        </w:rPr>
      </w:pPr>
      <w:r w:rsidRPr="00381FCF">
        <w:rPr>
          <w:rFonts w:ascii="Times New Roman" w:hAnsi="Times New Roman"/>
          <w:sz w:val="24"/>
          <w:szCs w:val="24"/>
        </w:rPr>
        <w:t>Obręb Zawada Piaski (0019): 11, 12, 13, 14, 15, 16, 17, 18, 19, 20, 21, 22, 23, 24, 25, 26, 27, 28, 29, 31, 32, 33, 34, 35, 36, 37, 39, 50, 242, 30/2, 38/2, 30/1, 30/3, 30/4, 10/5, 10/6, 10/7, 10/8, 10/9, 10/10, 10/11, 10/12, 10/13, 10/14, 10/15, 10/16, 10/17, 10/18, 10/19, 10/20, 10/21, 10/22, 10/23, 10/24, 10/25, 10/26, 10/27, 10/28, 10/29, 10/30, 10/31, 10/32, 10/33, 10/34, 10/35, 10/36, 10/37, 10/38, 10/49, 10/51, 10/52, 10/53, 10/54</w:t>
      </w:r>
      <w:r>
        <w:rPr>
          <w:rFonts w:ascii="Times New Roman" w:hAnsi="Times New Roman"/>
          <w:sz w:val="24"/>
          <w:szCs w:val="24"/>
        </w:rPr>
        <w:t>.</w:t>
      </w:r>
    </w:p>
    <w:p w:rsidR="00885605" w:rsidRPr="00885605" w:rsidRDefault="00F82AE0"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gatunków ptaków wodno-błotnych z rzędów: siewkowe </w:t>
      </w:r>
      <w:proofErr w:type="spellStart"/>
      <w:r w:rsidRPr="00885605">
        <w:rPr>
          <w:rFonts w:ascii="Times New Roman" w:hAnsi="Times New Roman"/>
          <w:i/>
          <w:sz w:val="24"/>
          <w:szCs w:val="24"/>
        </w:rPr>
        <w:t>Charadriiformes</w:t>
      </w:r>
      <w:proofErr w:type="spellEnd"/>
      <w:r w:rsidRPr="00885605">
        <w:rPr>
          <w:rFonts w:ascii="Times New Roman" w:hAnsi="Times New Roman"/>
          <w:sz w:val="24"/>
          <w:szCs w:val="24"/>
        </w:rPr>
        <w:t xml:space="preserve">, blaszkodziobe </w:t>
      </w:r>
      <w:proofErr w:type="spellStart"/>
      <w:r w:rsidRPr="00885605">
        <w:rPr>
          <w:rFonts w:ascii="Times New Roman" w:hAnsi="Times New Roman"/>
          <w:i/>
          <w:sz w:val="24"/>
          <w:szCs w:val="24"/>
        </w:rPr>
        <w:t>Anseriformes</w:t>
      </w:r>
      <w:proofErr w:type="spellEnd"/>
      <w:r w:rsidRPr="00885605">
        <w:rPr>
          <w:rFonts w:ascii="Times New Roman" w:hAnsi="Times New Roman"/>
          <w:sz w:val="24"/>
          <w:szCs w:val="24"/>
        </w:rPr>
        <w:t xml:space="preserve"> i </w:t>
      </w:r>
      <w:proofErr w:type="spellStart"/>
      <w:r w:rsidRPr="00885605">
        <w:rPr>
          <w:rFonts w:ascii="Times New Roman" w:hAnsi="Times New Roman"/>
          <w:sz w:val="24"/>
          <w:szCs w:val="24"/>
        </w:rPr>
        <w:t>żurawiowe</w:t>
      </w:r>
      <w:proofErr w:type="spellEnd"/>
      <w:r w:rsidRPr="00885605">
        <w:rPr>
          <w:rFonts w:ascii="Times New Roman" w:hAnsi="Times New Roman"/>
          <w:sz w:val="24"/>
          <w:szCs w:val="24"/>
        </w:rPr>
        <w:t xml:space="preserve"> </w:t>
      </w:r>
      <w:proofErr w:type="spellStart"/>
      <w:r w:rsidRPr="00885605">
        <w:rPr>
          <w:rFonts w:ascii="Times New Roman" w:hAnsi="Times New Roman"/>
          <w:i/>
          <w:sz w:val="24"/>
          <w:szCs w:val="24"/>
        </w:rPr>
        <w:t>Gruiformes</w:t>
      </w:r>
      <w:proofErr w:type="spellEnd"/>
      <w:r w:rsidRPr="00885605">
        <w:rPr>
          <w:rFonts w:ascii="Times New Roman" w:hAnsi="Times New Roman"/>
          <w:sz w:val="24"/>
          <w:szCs w:val="24"/>
        </w:rPr>
        <w:t xml:space="preserve"> w trakcie wiosennej i jesiennej wędrówki </w:t>
      </w:r>
      <w:r w:rsidR="00574D8E" w:rsidRPr="00885605">
        <w:rPr>
          <w:rFonts w:ascii="Times New Roman" w:hAnsi="Times New Roman"/>
          <w:sz w:val="24"/>
          <w:szCs w:val="24"/>
        </w:rPr>
        <w:t>w obrębie</w:t>
      </w:r>
      <w:r w:rsidRPr="00885605">
        <w:rPr>
          <w:rFonts w:ascii="Times New Roman" w:hAnsi="Times New Roman"/>
          <w:sz w:val="24"/>
          <w:szCs w:val="24"/>
        </w:rPr>
        <w:t xml:space="preserve"> rezerwatu przyrody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 xml:space="preserve"> – w trakcie powyższych badań </w:t>
      </w:r>
      <w:r w:rsidR="00574D8E" w:rsidRPr="00885605">
        <w:rPr>
          <w:rFonts w:ascii="Times New Roman" w:hAnsi="Times New Roman"/>
          <w:sz w:val="24"/>
          <w:szCs w:val="24"/>
        </w:rPr>
        <w:t>(</w:t>
      </w:r>
      <w:r w:rsidR="00885605" w:rsidRPr="00885605">
        <w:rPr>
          <w:rFonts w:ascii="Times New Roman" w:hAnsi="Times New Roman"/>
          <w:sz w:val="24"/>
          <w:szCs w:val="24"/>
        </w:rPr>
        <w:t>litery</w:t>
      </w:r>
      <w:r w:rsidR="00574D8E" w:rsidRPr="00885605">
        <w:rPr>
          <w:rFonts w:ascii="Times New Roman" w:hAnsi="Times New Roman"/>
          <w:sz w:val="24"/>
          <w:szCs w:val="24"/>
        </w:rPr>
        <w:t xml:space="preserve"> </w:t>
      </w:r>
      <w:r w:rsidR="00885605" w:rsidRPr="00885605">
        <w:rPr>
          <w:rFonts w:ascii="Times New Roman" w:hAnsi="Times New Roman"/>
          <w:sz w:val="24"/>
          <w:szCs w:val="24"/>
        </w:rPr>
        <w:t>a</w:t>
      </w:r>
      <w:r w:rsidR="0087469E">
        <w:rPr>
          <w:rFonts w:ascii="Times New Roman" w:hAnsi="Times New Roman"/>
          <w:sz w:val="24"/>
          <w:szCs w:val="24"/>
        </w:rPr>
        <w:t>)</w:t>
      </w:r>
      <w:r w:rsidR="00885605" w:rsidRPr="00885605">
        <w:rPr>
          <w:rFonts w:ascii="Times New Roman" w:hAnsi="Times New Roman"/>
          <w:sz w:val="24"/>
          <w:szCs w:val="24"/>
        </w:rPr>
        <w:t>-e</w:t>
      </w:r>
      <w:r w:rsidR="0087469E">
        <w:rPr>
          <w:rFonts w:ascii="Times New Roman" w:hAnsi="Times New Roman"/>
          <w:sz w:val="24"/>
          <w:szCs w:val="24"/>
        </w:rPr>
        <w:t>)</w:t>
      </w:r>
      <w:r w:rsidR="00885605" w:rsidRPr="00885605">
        <w:rPr>
          <w:rFonts w:ascii="Times New Roman" w:hAnsi="Times New Roman"/>
          <w:sz w:val="24"/>
          <w:szCs w:val="24"/>
        </w:rPr>
        <w:t xml:space="preserve"> oraz m</w:t>
      </w:r>
      <w:r w:rsidR="00574D8E" w:rsidRPr="00885605">
        <w:rPr>
          <w:rFonts w:ascii="Times New Roman" w:hAnsi="Times New Roman"/>
          <w:sz w:val="24"/>
          <w:szCs w:val="24"/>
        </w:rPr>
        <w:t xml:space="preserve">) </w:t>
      </w:r>
      <w:r w:rsidRPr="00885605">
        <w:rPr>
          <w:rFonts w:ascii="Times New Roman" w:hAnsi="Times New Roman"/>
          <w:sz w:val="24"/>
          <w:szCs w:val="24"/>
        </w:rPr>
        <w:t xml:space="preserve">należy przeprowadzić monitoring gatunków ptaków </w:t>
      </w:r>
      <w:r w:rsidRPr="00885605">
        <w:rPr>
          <w:rFonts w:ascii="Times New Roman" w:hAnsi="Times New Roman"/>
          <w:sz w:val="24"/>
          <w:szCs w:val="24"/>
        </w:rPr>
        <w:lastRenderedPageBreak/>
        <w:t xml:space="preserve">wodno-błotnych z rzędów: siewkowe, blaszkodziobe </w:t>
      </w:r>
      <w:r w:rsidR="00B6744A">
        <w:rPr>
          <w:rFonts w:ascii="Times New Roman" w:hAnsi="Times New Roman"/>
          <w:sz w:val="24"/>
          <w:szCs w:val="24"/>
        </w:rPr>
        <w:t xml:space="preserve">i </w:t>
      </w:r>
      <w:proofErr w:type="spellStart"/>
      <w:r w:rsidR="00B6744A">
        <w:rPr>
          <w:rFonts w:ascii="Times New Roman" w:hAnsi="Times New Roman"/>
          <w:sz w:val="24"/>
          <w:szCs w:val="24"/>
        </w:rPr>
        <w:t>żurawiowe</w:t>
      </w:r>
      <w:proofErr w:type="spellEnd"/>
      <w:r w:rsidR="00B6744A">
        <w:rPr>
          <w:rFonts w:ascii="Times New Roman" w:hAnsi="Times New Roman"/>
          <w:sz w:val="24"/>
          <w:szCs w:val="24"/>
        </w:rPr>
        <w:t xml:space="preserve"> w trakcie wiosennej</w:t>
      </w:r>
      <w:r w:rsidR="00B6744A">
        <w:rPr>
          <w:rFonts w:ascii="Times New Roman" w:hAnsi="Times New Roman"/>
          <w:sz w:val="24"/>
          <w:szCs w:val="24"/>
        </w:rPr>
        <w:br/>
      </w:r>
      <w:r w:rsidRPr="00885605">
        <w:rPr>
          <w:rFonts w:ascii="Times New Roman" w:hAnsi="Times New Roman"/>
          <w:sz w:val="24"/>
          <w:szCs w:val="24"/>
        </w:rPr>
        <w:t xml:space="preserve">i jesiennej migracji w granicach rezerwatu przyrody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 W razie konieczności należy zaplanować dodatkowe ko</w:t>
      </w:r>
      <w:r w:rsidR="00574D8E" w:rsidRPr="00885605">
        <w:rPr>
          <w:rFonts w:ascii="Times New Roman" w:hAnsi="Times New Roman"/>
          <w:sz w:val="24"/>
          <w:szCs w:val="24"/>
        </w:rPr>
        <w:t>ntrole uwzględniające metodykę dostosowaną do innych</w:t>
      </w:r>
      <w:r w:rsidRPr="00885605">
        <w:rPr>
          <w:rFonts w:ascii="Times New Roman" w:hAnsi="Times New Roman"/>
          <w:sz w:val="24"/>
          <w:szCs w:val="24"/>
        </w:rPr>
        <w:t xml:space="preserve"> niż </w:t>
      </w:r>
      <w:r w:rsidR="00574D8E" w:rsidRPr="00885605">
        <w:rPr>
          <w:rFonts w:ascii="Times New Roman" w:hAnsi="Times New Roman"/>
          <w:sz w:val="24"/>
          <w:szCs w:val="24"/>
        </w:rPr>
        <w:t xml:space="preserve">wymienione w </w:t>
      </w:r>
      <w:r w:rsidR="00E86510">
        <w:rPr>
          <w:rFonts w:ascii="Times New Roman" w:hAnsi="Times New Roman"/>
          <w:sz w:val="24"/>
          <w:szCs w:val="24"/>
        </w:rPr>
        <w:t>literach a)-e) oraz m)</w:t>
      </w:r>
      <w:r w:rsidR="00B6744A">
        <w:rPr>
          <w:rFonts w:ascii="Times New Roman" w:hAnsi="Times New Roman"/>
          <w:sz w:val="24"/>
          <w:szCs w:val="24"/>
        </w:rPr>
        <w:t xml:space="preserve"> gatunków ptaków</w:t>
      </w:r>
      <w:r w:rsidR="00B6744A">
        <w:rPr>
          <w:rFonts w:ascii="Times New Roman" w:hAnsi="Times New Roman"/>
          <w:sz w:val="24"/>
          <w:szCs w:val="24"/>
        </w:rPr>
        <w:br/>
      </w:r>
      <w:r w:rsidR="00574D8E" w:rsidRPr="00885605">
        <w:rPr>
          <w:rFonts w:ascii="Times New Roman" w:hAnsi="Times New Roman"/>
          <w:sz w:val="24"/>
          <w:szCs w:val="24"/>
        </w:rPr>
        <w:t>z powyższych grup.</w:t>
      </w:r>
    </w:p>
    <w:p w:rsidR="00574D8E" w:rsidRPr="00885605" w:rsidRDefault="00574D8E" w:rsidP="00885605">
      <w:pPr>
        <w:pStyle w:val="Akapitzlist"/>
        <w:numPr>
          <w:ilvl w:val="0"/>
          <w:numId w:val="34"/>
        </w:numPr>
        <w:jc w:val="both"/>
        <w:rPr>
          <w:rFonts w:ascii="Times New Roman" w:hAnsi="Times New Roman"/>
          <w:sz w:val="24"/>
          <w:szCs w:val="24"/>
        </w:rPr>
      </w:pPr>
      <w:r w:rsidRPr="00885605">
        <w:rPr>
          <w:rFonts w:ascii="Times New Roman" w:hAnsi="Times New Roman"/>
          <w:sz w:val="24"/>
          <w:szCs w:val="24"/>
        </w:rPr>
        <w:t xml:space="preserve">Monitoring awifauny lęgowej rezerwatu przyrody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 xml:space="preserve"> – w trakcie powyższych badań (</w:t>
      </w:r>
      <w:r w:rsidR="00885605" w:rsidRPr="00885605">
        <w:rPr>
          <w:rFonts w:ascii="Times New Roman" w:hAnsi="Times New Roman"/>
          <w:sz w:val="24"/>
          <w:szCs w:val="24"/>
        </w:rPr>
        <w:t>litery f</w:t>
      </w:r>
      <w:r w:rsidR="0087469E">
        <w:rPr>
          <w:rFonts w:ascii="Times New Roman" w:hAnsi="Times New Roman"/>
          <w:sz w:val="24"/>
          <w:szCs w:val="24"/>
        </w:rPr>
        <w:t>)</w:t>
      </w:r>
      <w:r w:rsidR="00885605" w:rsidRPr="00885605">
        <w:rPr>
          <w:rFonts w:ascii="Times New Roman" w:hAnsi="Times New Roman"/>
          <w:sz w:val="24"/>
          <w:szCs w:val="24"/>
        </w:rPr>
        <w:t>-m</w:t>
      </w:r>
      <w:r w:rsidRPr="00885605">
        <w:rPr>
          <w:rFonts w:ascii="Times New Roman" w:hAnsi="Times New Roman"/>
          <w:sz w:val="24"/>
          <w:szCs w:val="24"/>
        </w:rPr>
        <w:t xml:space="preserve">) należy prowadzić monitoring awifauny lęgowej rezerwatu przyrody Jezioro </w:t>
      </w:r>
      <w:proofErr w:type="spellStart"/>
      <w:r w:rsidRPr="00885605">
        <w:rPr>
          <w:rFonts w:ascii="Times New Roman" w:hAnsi="Times New Roman"/>
          <w:sz w:val="24"/>
          <w:szCs w:val="24"/>
        </w:rPr>
        <w:t>Rakutowskie</w:t>
      </w:r>
      <w:proofErr w:type="spellEnd"/>
      <w:r w:rsidRPr="00885605">
        <w:rPr>
          <w:rFonts w:ascii="Times New Roman" w:hAnsi="Times New Roman"/>
          <w:sz w:val="24"/>
          <w:szCs w:val="24"/>
        </w:rPr>
        <w:t xml:space="preserve"> z uwzględnieniem wszystkich gatunków ptaków występujących na badanym terenie.</w:t>
      </w:r>
    </w:p>
    <w:p w:rsidR="00885605" w:rsidRPr="00885605" w:rsidRDefault="00885605" w:rsidP="00885605">
      <w:pPr>
        <w:jc w:val="both"/>
      </w:pPr>
      <w:r w:rsidRPr="00885605">
        <w:t xml:space="preserve">2. </w:t>
      </w:r>
      <w:r w:rsidR="007E5F20" w:rsidRPr="00885605">
        <w:t>Ogólne w</w:t>
      </w:r>
      <w:r w:rsidR="00B90645" w:rsidRPr="00885605">
        <w:t>arunki prowadzenia kontroli:</w:t>
      </w:r>
    </w:p>
    <w:p w:rsidR="00885605" w:rsidRPr="00885605" w:rsidRDefault="00B90645" w:rsidP="00885605">
      <w:pPr>
        <w:pStyle w:val="Akapitzlist"/>
        <w:numPr>
          <w:ilvl w:val="0"/>
          <w:numId w:val="36"/>
        </w:numPr>
        <w:jc w:val="both"/>
        <w:rPr>
          <w:rFonts w:ascii="Times New Roman" w:hAnsi="Times New Roman"/>
          <w:sz w:val="24"/>
          <w:szCs w:val="24"/>
        </w:rPr>
      </w:pPr>
      <w:r w:rsidRPr="00885605">
        <w:rPr>
          <w:rFonts w:ascii="Times New Roman" w:hAnsi="Times New Roman"/>
          <w:sz w:val="24"/>
          <w:szCs w:val="24"/>
        </w:rPr>
        <w:t>nie należy prowadzić kontroli podczas słabej widoczności oraz przy silnym wietrze,</w:t>
      </w:r>
    </w:p>
    <w:p w:rsidR="00885605" w:rsidRPr="00885605" w:rsidRDefault="00B90645" w:rsidP="00885605">
      <w:pPr>
        <w:pStyle w:val="Akapitzlist"/>
        <w:numPr>
          <w:ilvl w:val="0"/>
          <w:numId w:val="36"/>
        </w:numPr>
        <w:jc w:val="both"/>
        <w:rPr>
          <w:rFonts w:ascii="Times New Roman" w:hAnsi="Times New Roman"/>
          <w:sz w:val="24"/>
          <w:szCs w:val="24"/>
        </w:rPr>
      </w:pPr>
      <w:r w:rsidRPr="00885605">
        <w:rPr>
          <w:rFonts w:ascii="Times New Roman" w:hAnsi="Times New Roman"/>
          <w:sz w:val="24"/>
          <w:szCs w:val="24"/>
        </w:rPr>
        <w:t>wyniki inwentaryzacji należy nanosić na mapę,</w:t>
      </w:r>
    </w:p>
    <w:p w:rsidR="00885605" w:rsidRPr="00885605" w:rsidRDefault="00B90645" w:rsidP="00885605">
      <w:pPr>
        <w:pStyle w:val="Akapitzlist"/>
        <w:numPr>
          <w:ilvl w:val="0"/>
          <w:numId w:val="36"/>
        </w:numPr>
        <w:jc w:val="both"/>
        <w:rPr>
          <w:rFonts w:ascii="Times New Roman" w:hAnsi="Times New Roman"/>
          <w:sz w:val="24"/>
          <w:szCs w:val="24"/>
        </w:rPr>
      </w:pPr>
      <w:r w:rsidRPr="00885605">
        <w:rPr>
          <w:rFonts w:ascii="Times New Roman" w:hAnsi="Times New Roman"/>
          <w:sz w:val="24"/>
          <w:szCs w:val="24"/>
        </w:rPr>
        <w:t>kryteria lęgowości poszczególnych grup taksonomicznych należy p</w:t>
      </w:r>
      <w:r w:rsidR="00574D8E" w:rsidRPr="00885605">
        <w:rPr>
          <w:rFonts w:ascii="Times New Roman" w:hAnsi="Times New Roman"/>
          <w:sz w:val="24"/>
          <w:szCs w:val="24"/>
        </w:rPr>
        <w:t>rzyjąć za Chylarecki i in. 2009</w:t>
      </w:r>
      <w:r w:rsidR="00614E69" w:rsidRPr="00885605">
        <w:rPr>
          <w:rFonts w:ascii="Times New Roman" w:hAnsi="Times New Roman"/>
          <w:sz w:val="24"/>
          <w:szCs w:val="24"/>
        </w:rPr>
        <w:t>,</w:t>
      </w:r>
    </w:p>
    <w:p w:rsidR="00574D8E" w:rsidRPr="00885605" w:rsidRDefault="00574D8E" w:rsidP="00885605">
      <w:pPr>
        <w:pStyle w:val="Akapitzlist"/>
        <w:numPr>
          <w:ilvl w:val="0"/>
          <w:numId w:val="36"/>
        </w:numPr>
        <w:jc w:val="both"/>
        <w:rPr>
          <w:rFonts w:ascii="Times New Roman" w:hAnsi="Times New Roman"/>
          <w:sz w:val="24"/>
          <w:szCs w:val="24"/>
        </w:rPr>
      </w:pPr>
      <w:r w:rsidRPr="00885605">
        <w:rPr>
          <w:rFonts w:ascii="Times New Roman" w:hAnsi="Times New Roman"/>
          <w:sz w:val="24"/>
          <w:szCs w:val="24"/>
        </w:rPr>
        <w:t>o</w:t>
      </w:r>
      <w:r w:rsidR="00B90645" w:rsidRPr="00885605">
        <w:rPr>
          <w:rFonts w:ascii="Times New Roman" w:hAnsi="Times New Roman"/>
          <w:sz w:val="24"/>
          <w:szCs w:val="24"/>
        </w:rPr>
        <w:t>rientacyjnie należy przyjąć terminy trwania poszczególnych okresów fenologicznych:</w:t>
      </w:r>
    </w:p>
    <w:p w:rsidR="00574D8E" w:rsidRPr="00885605" w:rsidRDefault="00D6103F" w:rsidP="00574D8E">
      <w:pPr>
        <w:pStyle w:val="Akapitzlist"/>
        <w:jc w:val="both"/>
        <w:rPr>
          <w:rFonts w:ascii="Times New Roman" w:hAnsi="Times New Roman"/>
          <w:sz w:val="24"/>
          <w:szCs w:val="24"/>
        </w:rPr>
      </w:pPr>
      <w:r w:rsidRPr="00885605">
        <w:rPr>
          <w:rFonts w:ascii="Times New Roman" w:hAnsi="Times New Roman"/>
          <w:sz w:val="24"/>
          <w:szCs w:val="24"/>
        </w:rPr>
        <w:t xml:space="preserve">- </w:t>
      </w:r>
      <w:r w:rsidR="00B90645" w:rsidRPr="00885605">
        <w:rPr>
          <w:rFonts w:ascii="Times New Roman" w:hAnsi="Times New Roman"/>
          <w:sz w:val="24"/>
          <w:szCs w:val="24"/>
        </w:rPr>
        <w:t>migracja jesienna: 1.09. – 20.11,</w:t>
      </w:r>
    </w:p>
    <w:p w:rsidR="00574D8E" w:rsidRPr="00885605" w:rsidRDefault="00D6103F" w:rsidP="00574D8E">
      <w:pPr>
        <w:pStyle w:val="Akapitzlist"/>
        <w:jc w:val="both"/>
        <w:rPr>
          <w:rFonts w:ascii="Times New Roman" w:hAnsi="Times New Roman"/>
          <w:sz w:val="24"/>
          <w:szCs w:val="24"/>
        </w:rPr>
      </w:pPr>
      <w:r w:rsidRPr="00885605">
        <w:rPr>
          <w:rFonts w:ascii="Times New Roman" w:hAnsi="Times New Roman"/>
          <w:sz w:val="24"/>
          <w:szCs w:val="24"/>
        </w:rPr>
        <w:t xml:space="preserve">- </w:t>
      </w:r>
      <w:r w:rsidR="00B90645" w:rsidRPr="00885605">
        <w:rPr>
          <w:rFonts w:ascii="Times New Roman" w:hAnsi="Times New Roman"/>
          <w:sz w:val="24"/>
          <w:szCs w:val="24"/>
        </w:rPr>
        <w:t>migracja wiosenna: 21.02. – 20.04,</w:t>
      </w:r>
    </w:p>
    <w:p w:rsidR="00574D8E" w:rsidRPr="00885605" w:rsidRDefault="00D6103F" w:rsidP="00574D8E">
      <w:pPr>
        <w:pStyle w:val="Akapitzlist"/>
        <w:jc w:val="both"/>
        <w:rPr>
          <w:rFonts w:ascii="Times New Roman" w:hAnsi="Times New Roman"/>
          <w:sz w:val="24"/>
          <w:szCs w:val="24"/>
        </w:rPr>
      </w:pPr>
      <w:r w:rsidRPr="00885605">
        <w:rPr>
          <w:rFonts w:ascii="Times New Roman" w:hAnsi="Times New Roman"/>
          <w:sz w:val="24"/>
          <w:szCs w:val="24"/>
        </w:rPr>
        <w:t xml:space="preserve">- </w:t>
      </w:r>
      <w:r w:rsidR="00B90645" w:rsidRPr="00885605">
        <w:rPr>
          <w:rFonts w:ascii="Times New Roman" w:hAnsi="Times New Roman"/>
          <w:sz w:val="24"/>
          <w:szCs w:val="24"/>
        </w:rPr>
        <w:t>okres lęgowy: 21.04. – 20.06,</w:t>
      </w:r>
    </w:p>
    <w:p w:rsidR="00885605" w:rsidRPr="00885605" w:rsidRDefault="00D6103F" w:rsidP="00885605">
      <w:pPr>
        <w:pStyle w:val="Akapitzlist"/>
        <w:jc w:val="both"/>
        <w:rPr>
          <w:rFonts w:ascii="Times New Roman" w:hAnsi="Times New Roman"/>
          <w:sz w:val="24"/>
          <w:szCs w:val="24"/>
        </w:rPr>
      </w:pPr>
      <w:r w:rsidRPr="00885605">
        <w:rPr>
          <w:rFonts w:ascii="Times New Roman" w:hAnsi="Times New Roman"/>
          <w:sz w:val="24"/>
          <w:szCs w:val="24"/>
        </w:rPr>
        <w:t xml:space="preserve">- </w:t>
      </w:r>
      <w:r w:rsidR="00B90645" w:rsidRPr="00885605">
        <w:rPr>
          <w:rFonts w:ascii="Times New Roman" w:hAnsi="Times New Roman"/>
          <w:sz w:val="24"/>
          <w:szCs w:val="24"/>
        </w:rPr>
        <w:t xml:space="preserve">dyspersja </w:t>
      </w:r>
      <w:proofErr w:type="spellStart"/>
      <w:r w:rsidR="00B90645" w:rsidRPr="00885605">
        <w:rPr>
          <w:rFonts w:ascii="Times New Roman" w:hAnsi="Times New Roman"/>
          <w:sz w:val="24"/>
          <w:szCs w:val="24"/>
        </w:rPr>
        <w:t>polęgowa</w:t>
      </w:r>
      <w:proofErr w:type="spellEnd"/>
      <w:r w:rsidR="00B90645" w:rsidRPr="00885605">
        <w:rPr>
          <w:rFonts w:ascii="Times New Roman" w:hAnsi="Times New Roman"/>
          <w:sz w:val="24"/>
          <w:szCs w:val="24"/>
        </w:rPr>
        <w:t>: 21.06. – 31.08.</w:t>
      </w:r>
    </w:p>
    <w:p w:rsidR="00E86510" w:rsidRDefault="00614E69" w:rsidP="00885605">
      <w:pPr>
        <w:pStyle w:val="Akapitzlist"/>
        <w:numPr>
          <w:ilvl w:val="0"/>
          <w:numId w:val="36"/>
        </w:numPr>
        <w:jc w:val="both"/>
        <w:rPr>
          <w:rFonts w:ascii="Times New Roman" w:hAnsi="Times New Roman"/>
          <w:sz w:val="24"/>
          <w:szCs w:val="24"/>
        </w:rPr>
      </w:pPr>
      <w:r w:rsidRPr="00885605">
        <w:rPr>
          <w:rFonts w:ascii="Times New Roman" w:hAnsi="Times New Roman"/>
          <w:sz w:val="24"/>
          <w:szCs w:val="24"/>
        </w:rPr>
        <w:t>w</w:t>
      </w:r>
      <w:r w:rsidR="00E968CC" w:rsidRPr="00885605">
        <w:rPr>
          <w:rFonts w:ascii="Times New Roman" w:hAnsi="Times New Roman"/>
          <w:sz w:val="24"/>
          <w:szCs w:val="24"/>
        </w:rPr>
        <w:t>ykonując</w:t>
      </w:r>
      <w:r w:rsidR="00B5740B" w:rsidRPr="00885605">
        <w:rPr>
          <w:rFonts w:ascii="Times New Roman" w:hAnsi="Times New Roman"/>
          <w:sz w:val="24"/>
          <w:szCs w:val="24"/>
        </w:rPr>
        <w:t xml:space="preserve"> </w:t>
      </w:r>
      <w:r w:rsidR="00E968CC" w:rsidRPr="00885605">
        <w:rPr>
          <w:rFonts w:ascii="Times New Roman" w:hAnsi="Times New Roman"/>
          <w:sz w:val="24"/>
          <w:szCs w:val="24"/>
        </w:rPr>
        <w:t>monitoring</w:t>
      </w:r>
      <w:r w:rsidR="00B5740B" w:rsidRPr="00885605">
        <w:rPr>
          <w:rFonts w:ascii="Times New Roman" w:hAnsi="Times New Roman"/>
          <w:sz w:val="24"/>
          <w:szCs w:val="24"/>
        </w:rPr>
        <w:t xml:space="preserve"> </w:t>
      </w:r>
      <w:r w:rsidR="00E968CC" w:rsidRPr="00885605">
        <w:rPr>
          <w:rFonts w:ascii="Times New Roman" w:hAnsi="Times New Roman"/>
          <w:sz w:val="24"/>
          <w:szCs w:val="24"/>
        </w:rPr>
        <w:t>lęgowych</w:t>
      </w:r>
      <w:r w:rsidR="00B5740B" w:rsidRPr="00885605">
        <w:rPr>
          <w:rFonts w:ascii="Times New Roman" w:hAnsi="Times New Roman"/>
          <w:sz w:val="24"/>
          <w:szCs w:val="24"/>
        </w:rPr>
        <w:t xml:space="preserve"> </w:t>
      </w:r>
      <w:r w:rsidR="00E968CC" w:rsidRPr="00885605">
        <w:rPr>
          <w:rFonts w:ascii="Times New Roman" w:hAnsi="Times New Roman"/>
          <w:sz w:val="24"/>
          <w:szCs w:val="24"/>
        </w:rPr>
        <w:t>gatunków</w:t>
      </w:r>
      <w:r w:rsidR="00B5740B" w:rsidRPr="00885605">
        <w:rPr>
          <w:rFonts w:ascii="Times New Roman" w:hAnsi="Times New Roman"/>
          <w:sz w:val="24"/>
          <w:szCs w:val="24"/>
        </w:rPr>
        <w:t xml:space="preserve"> </w:t>
      </w:r>
      <w:r w:rsidR="00E968CC" w:rsidRPr="00885605">
        <w:rPr>
          <w:rFonts w:ascii="Times New Roman" w:hAnsi="Times New Roman"/>
          <w:sz w:val="24"/>
          <w:szCs w:val="24"/>
        </w:rPr>
        <w:t>ptaków</w:t>
      </w:r>
      <w:r w:rsidR="00B5740B" w:rsidRPr="00885605">
        <w:rPr>
          <w:rFonts w:ascii="Times New Roman" w:hAnsi="Times New Roman"/>
          <w:sz w:val="24"/>
          <w:szCs w:val="24"/>
        </w:rPr>
        <w:t xml:space="preserve"> </w:t>
      </w:r>
      <w:r w:rsidR="00E968CC" w:rsidRPr="00885605">
        <w:rPr>
          <w:rFonts w:ascii="Times New Roman" w:hAnsi="Times New Roman"/>
          <w:sz w:val="24"/>
          <w:szCs w:val="24"/>
        </w:rPr>
        <w:t>należy</w:t>
      </w:r>
      <w:r w:rsidR="00B5740B" w:rsidRPr="00885605">
        <w:rPr>
          <w:rFonts w:ascii="Times New Roman" w:hAnsi="Times New Roman"/>
          <w:sz w:val="24"/>
          <w:szCs w:val="24"/>
        </w:rPr>
        <w:t xml:space="preserve"> </w:t>
      </w:r>
      <w:r w:rsidR="00E968CC" w:rsidRPr="00885605">
        <w:rPr>
          <w:rFonts w:ascii="Times New Roman" w:hAnsi="Times New Roman"/>
          <w:sz w:val="24"/>
          <w:szCs w:val="24"/>
        </w:rPr>
        <w:t>stosować</w:t>
      </w:r>
      <w:r w:rsidR="00B5740B" w:rsidRPr="00885605">
        <w:rPr>
          <w:rFonts w:ascii="Times New Roman" w:hAnsi="Times New Roman"/>
          <w:sz w:val="24"/>
          <w:szCs w:val="24"/>
        </w:rPr>
        <w:t xml:space="preserve"> </w:t>
      </w:r>
      <w:r w:rsidR="00E968CC" w:rsidRPr="00885605">
        <w:rPr>
          <w:rFonts w:ascii="Times New Roman" w:hAnsi="Times New Roman"/>
          <w:sz w:val="24"/>
          <w:szCs w:val="24"/>
        </w:rPr>
        <w:t>zalecenia</w:t>
      </w:r>
      <w:r w:rsidR="00B5740B" w:rsidRPr="00885605">
        <w:rPr>
          <w:rFonts w:ascii="Times New Roman" w:hAnsi="Times New Roman"/>
          <w:sz w:val="24"/>
          <w:szCs w:val="24"/>
        </w:rPr>
        <w:t xml:space="preserve"> </w:t>
      </w:r>
      <w:r w:rsidR="00E968CC" w:rsidRPr="00885605">
        <w:rPr>
          <w:rFonts w:ascii="Times New Roman" w:hAnsi="Times New Roman"/>
          <w:sz w:val="24"/>
          <w:szCs w:val="24"/>
        </w:rPr>
        <w:t>zawarte</w:t>
      </w:r>
      <w:r w:rsidR="00B5740B" w:rsidRPr="00885605">
        <w:rPr>
          <w:rFonts w:ascii="Times New Roman" w:hAnsi="Times New Roman"/>
          <w:sz w:val="24"/>
          <w:szCs w:val="24"/>
        </w:rPr>
        <w:t xml:space="preserve"> </w:t>
      </w:r>
      <w:r w:rsidR="00E968CC" w:rsidRPr="00885605">
        <w:rPr>
          <w:rFonts w:ascii="Times New Roman" w:hAnsi="Times New Roman"/>
          <w:sz w:val="24"/>
          <w:szCs w:val="24"/>
        </w:rPr>
        <w:t>w poradniku</w:t>
      </w:r>
      <w:r w:rsidR="00B5740B" w:rsidRPr="00885605">
        <w:rPr>
          <w:rFonts w:ascii="Times New Roman" w:hAnsi="Times New Roman"/>
          <w:sz w:val="24"/>
          <w:szCs w:val="24"/>
        </w:rPr>
        <w:t xml:space="preserve"> </w:t>
      </w:r>
      <w:r w:rsidR="00E968CC" w:rsidRPr="00885605">
        <w:rPr>
          <w:rFonts w:ascii="Times New Roman" w:hAnsi="Times New Roman"/>
          <w:sz w:val="24"/>
          <w:szCs w:val="24"/>
        </w:rPr>
        <w:t xml:space="preserve">metodycznym: Chylarecki P., Sikora A., </w:t>
      </w:r>
      <w:proofErr w:type="spellStart"/>
      <w:r w:rsidR="00E968CC" w:rsidRPr="00885605">
        <w:rPr>
          <w:rFonts w:ascii="Times New Roman" w:hAnsi="Times New Roman"/>
          <w:sz w:val="24"/>
          <w:szCs w:val="24"/>
        </w:rPr>
        <w:t>Cenian</w:t>
      </w:r>
      <w:proofErr w:type="spellEnd"/>
      <w:r w:rsidR="00E968CC" w:rsidRPr="00885605">
        <w:rPr>
          <w:rFonts w:ascii="Times New Roman" w:hAnsi="Times New Roman"/>
          <w:sz w:val="24"/>
          <w:szCs w:val="24"/>
        </w:rPr>
        <w:t xml:space="preserve"> Z</w:t>
      </w:r>
      <w:r w:rsidR="006574CB" w:rsidRPr="00885605">
        <w:rPr>
          <w:rFonts w:ascii="Times New Roman" w:hAnsi="Times New Roman"/>
          <w:sz w:val="24"/>
          <w:szCs w:val="24"/>
        </w:rPr>
        <w:t>. Chodkiewicz T. (red.) 2015</w:t>
      </w:r>
      <w:r w:rsidR="00E968CC" w:rsidRPr="00885605">
        <w:rPr>
          <w:rFonts w:ascii="Times New Roman" w:hAnsi="Times New Roman"/>
          <w:sz w:val="24"/>
          <w:szCs w:val="24"/>
        </w:rPr>
        <w:t>. Monitoring ptaków lęgowych. Poradnik metodyczny.</w:t>
      </w:r>
      <w:r w:rsidR="006574CB" w:rsidRPr="00885605">
        <w:rPr>
          <w:rFonts w:ascii="Times New Roman" w:hAnsi="Times New Roman"/>
          <w:sz w:val="24"/>
          <w:szCs w:val="24"/>
        </w:rPr>
        <w:t xml:space="preserve"> Wydanie 2</w:t>
      </w:r>
      <w:r w:rsidR="00E968CC" w:rsidRPr="00885605">
        <w:rPr>
          <w:rFonts w:ascii="Times New Roman" w:hAnsi="Times New Roman"/>
          <w:sz w:val="24"/>
          <w:szCs w:val="24"/>
        </w:rPr>
        <w:t xml:space="preserve"> GIOŚ, Warszawa. </w:t>
      </w:r>
    </w:p>
    <w:p w:rsidR="00614E69" w:rsidRPr="00885605" w:rsidRDefault="00E86510" w:rsidP="00885605">
      <w:pPr>
        <w:pStyle w:val="Akapitzlist"/>
        <w:numPr>
          <w:ilvl w:val="0"/>
          <w:numId w:val="36"/>
        </w:numPr>
        <w:jc w:val="both"/>
        <w:rPr>
          <w:rFonts w:ascii="Times New Roman" w:hAnsi="Times New Roman"/>
          <w:sz w:val="24"/>
          <w:szCs w:val="24"/>
        </w:rPr>
      </w:pPr>
      <w:r>
        <w:rPr>
          <w:rFonts w:ascii="Times New Roman" w:hAnsi="Times New Roman"/>
          <w:sz w:val="24"/>
          <w:szCs w:val="24"/>
        </w:rPr>
        <w:t xml:space="preserve">wykonując monitoring </w:t>
      </w:r>
      <w:r w:rsidR="00E968CC" w:rsidRPr="00885605">
        <w:rPr>
          <w:rFonts w:ascii="Times New Roman" w:hAnsi="Times New Roman"/>
          <w:sz w:val="24"/>
          <w:szCs w:val="24"/>
        </w:rPr>
        <w:t xml:space="preserve">migrujących </w:t>
      </w:r>
      <w:r>
        <w:rPr>
          <w:rFonts w:ascii="Times New Roman" w:hAnsi="Times New Roman"/>
          <w:sz w:val="24"/>
          <w:szCs w:val="24"/>
        </w:rPr>
        <w:t xml:space="preserve">populacji ptaków </w:t>
      </w:r>
      <w:r w:rsidR="00E968CC" w:rsidRPr="00885605">
        <w:rPr>
          <w:rFonts w:ascii="Times New Roman" w:hAnsi="Times New Roman"/>
          <w:sz w:val="24"/>
          <w:szCs w:val="24"/>
        </w:rPr>
        <w:t xml:space="preserve">należy stosować zalecenia zawarte w poradniku metodycznym: Sikora A., Chylarecki P., Meissner W., </w:t>
      </w:r>
      <w:proofErr w:type="spellStart"/>
      <w:r w:rsidR="00E968CC" w:rsidRPr="00885605">
        <w:rPr>
          <w:rFonts w:ascii="Times New Roman" w:hAnsi="Times New Roman"/>
          <w:sz w:val="24"/>
          <w:szCs w:val="24"/>
        </w:rPr>
        <w:t>Neubauer</w:t>
      </w:r>
      <w:proofErr w:type="spellEnd"/>
      <w:r w:rsidR="00E968CC" w:rsidRPr="00885605">
        <w:rPr>
          <w:rFonts w:ascii="Times New Roman" w:hAnsi="Times New Roman"/>
          <w:sz w:val="24"/>
          <w:szCs w:val="24"/>
        </w:rPr>
        <w:t xml:space="preserve"> G. (red.) 2011. Monitoring ptaków wodno-błotnych w okresie wędrówek. Poradnik metodyczny. GDOŚ, Warszawa.</w:t>
      </w:r>
    </w:p>
    <w:p w:rsidR="00885605" w:rsidRPr="00885605" w:rsidRDefault="00885605" w:rsidP="00885605">
      <w:pPr>
        <w:jc w:val="both"/>
      </w:pPr>
      <w:r w:rsidRPr="00885605">
        <w:t xml:space="preserve">3. </w:t>
      </w:r>
      <w:r w:rsidR="00636BDB" w:rsidRPr="00885605">
        <w:t xml:space="preserve">Obowiązki </w:t>
      </w:r>
      <w:r w:rsidR="006D0498" w:rsidRPr="00885605">
        <w:t>Wykonawcy</w:t>
      </w:r>
      <w:r w:rsidR="00D6103F" w:rsidRPr="00885605">
        <w:t>:</w:t>
      </w:r>
    </w:p>
    <w:p w:rsidR="00885605" w:rsidRPr="00885605" w:rsidRDefault="00A82FA0"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t>W</w:t>
      </w:r>
      <w:r w:rsidR="003E1DE0" w:rsidRPr="00885605">
        <w:rPr>
          <w:rFonts w:ascii="Times New Roman" w:hAnsi="Times New Roman"/>
          <w:sz w:val="24"/>
          <w:szCs w:val="24"/>
        </w:rPr>
        <w:t xml:space="preserve">ykonawca zaproponuje </w:t>
      </w:r>
      <w:r w:rsidRPr="00885605">
        <w:rPr>
          <w:rFonts w:ascii="Times New Roman" w:hAnsi="Times New Roman"/>
          <w:sz w:val="24"/>
          <w:szCs w:val="24"/>
        </w:rPr>
        <w:t>dokładną lokalizację pow</w:t>
      </w:r>
      <w:r w:rsidR="00B6744A">
        <w:rPr>
          <w:rFonts w:ascii="Times New Roman" w:hAnsi="Times New Roman"/>
          <w:sz w:val="24"/>
          <w:szCs w:val="24"/>
        </w:rPr>
        <w:t>ierzchni badawczych (</w:t>
      </w:r>
      <w:proofErr w:type="spellStart"/>
      <w:r w:rsidR="00B6744A">
        <w:rPr>
          <w:rFonts w:ascii="Times New Roman" w:hAnsi="Times New Roman"/>
          <w:sz w:val="24"/>
          <w:szCs w:val="24"/>
        </w:rPr>
        <w:t>transektów</w:t>
      </w:r>
      <w:proofErr w:type="spellEnd"/>
      <w:r w:rsidR="00B6744A">
        <w:rPr>
          <w:rFonts w:ascii="Times New Roman" w:hAnsi="Times New Roman"/>
          <w:sz w:val="24"/>
          <w:szCs w:val="24"/>
        </w:rPr>
        <w:br/>
      </w:r>
      <w:r w:rsidRPr="00885605">
        <w:rPr>
          <w:rFonts w:ascii="Times New Roman" w:hAnsi="Times New Roman"/>
          <w:sz w:val="24"/>
          <w:szCs w:val="24"/>
        </w:rPr>
        <w:t xml:space="preserve">i punktów obserwacyjnych, </w:t>
      </w:r>
      <w:r w:rsidR="00673037" w:rsidRPr="00885605">
        <w:rPr>
          <w:rFonts w:ascii="Times New Roman" w:hAnsi="Times New Roman"/>
          <w:sz w:val="24"/>
          <w:szCs w:val="24"/>
        </w:rPr>
        <w:t xml:space="preserve">co </w:t>
      </w:r>
      <w:r w:rsidRPr="00885605">
        <w:rPr>
          <w:rFonts w:ascii="Times New Roman" w:hAnsi="Times New Roman"/>
          <w:sz w:val="24"/>
          <w:szCs w:val="24"/>
        </w:rPr>
        <w:t xml:space="preserve">zostanie naniesione na mapy poglądowe) oraz metodykę </w:t>
      </w:r>
      <w:r w:rsidR="002277FD" w:rsidRPr="00885605">
        <w:rPr>
          <w:rFonts w:ascii="Times New Roman" w:hAnsi="Times New Roman"/>
          <w:sz w:val="24"/>
          <w:szCs w:val="24"/>
        </w:rPr>
        <w:t xml:space="preserve">i harmonogram </w:t>
      </w:r>
      <w:r w:rsidRPr="00885605">
        <w:rPr>
          <w:rFonts w:ascii="Times New Roman" w:hAnsi="Times New Roman"/>
          <w:sz w:val="24"/>
          <w:szCs w:val="24"/>
        </w:rPr>
        <w:t>badań terenowych</w:t>
      </w:r>
      <w:r w:rsidR="00254FB1" w:rsidRPr="00885605">
        <w:rPr>
          <w:rFonts w:ascii="Times New Roman" w:hAnsi="Times New Roman"/>
          <w:sz w:val="24"/>
          <w:szCs w:val="24"/>
        </w:rPr>
        <w:t>.</w:t>
      </w:r>
      <w:r w:rsidR="002E7B06" w:rsidRPr="00885605">
        <w:rPr>
          <w:rFonts w:ascii="Times New Roman" w:hAnsi="Times New Roman"/>
          <w:sz w:val="24"/>
          <w:szCs w:val="24"/>
        </w:rPr>
        <w:t xml:space="preserve"> </w:t>
      </w:r>
    </w:p>
    <w:p w:rsidR="00885605" w:rsidRPr="00885605" w:rsidRDefault="00650843"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t xml:space="preserve">Dopuszcza się możliwość dokonania modyfikacji metodyki oraz lokalizacji powierzchni badawczych </w:t>
      </w:r>
      <w:r w:rsidR="00A171F4" w:rsidRPr="00885605">
        <w:rPr>
          <w:rFonts w:ascii="Times New Roman" w:hAnsi="Times New Roman"/>
          <w:sz w:val="24"/>
          <w:szCs w:val="24"/>
        </w:rPr>
        <w:t xml:space="preserve">w trakcie wykonywania zamówienia </w:t>
      </w:r>
      <w:r w:rsidRPr="00885605">
        <w:rPr>
          <w:rFonts w:ascii="Times New Roman" w:hAnsi="Times New Roman"/>
          <w:sz w:val="24"/>
          <w:szCs w:val="24"/>
        </w:rPr>
        <w:t>pod warunkiem zgłoszenia tych</w:t>
      </w:r>
      <w:r w:rsidR="008763C2" w:rsidRPr="00885605">
        <w:rPr>
          <w:rFonts w:ascii="Times New Roman" w:hAnsi="Times New Roman"/>
          <w:sz w:val="24"/>
          <w:szCs w:val="24"/>
        </w:rPr>
        <w:t xml:space="preserve"> modyfikacji tut. Organowi przed</w:t>
      </w:r>
      <w:r w:rsidRPr="00885605">
        <w:rPr>
          <w:rFonts w:ascii="Times New Roman" w:hAnsi="Times New Roman"/>
          <w:sz w:val="24"/>
          <w:szCs w:val="24"/>
        </w:rPr>
        <w:t xml:space="preserve"> rozpoczęciem prowadzenia badań na podstawie </w:t>
      </w:r>
      <w:r w:rsidR="00A171F4" w:rsidRPr="00885605">
        <w:rPr>
          <w:rFonts w:ascii="Times New Roman" w:hAnsi="Times New Roman"/>
          <w:sz w:val="24"/>
          <w:szCs w:val="24"/>
        </w:rPr>
        <w:t xml:space="preserve">zmienionej </w:t>
      </w:r>
      <w:r w:rsidRPr="00885605">
        <w:rPr>
          <w:rFonts w:ascii="Times New Roman" w:hAnsi="Times New Roman"/>
          <w:sz w:val="24"/>
          <w:szCs w:val="24"/>
        </w:rPr>
        <w:t>metodyki</w:t>
      </w:r>
      <w:r w:rsidR="00A171F4" w:rsidRPr="00885605">
        <w:rPr>
          <w:rFonts w:ascii="Times New Roman" w:hAnsi="Times New Roman"/>
          <w:sz w:val="24"/>
          <w:szCs w:val="24"/>
        </w:rPr>
        <w:t xml:space="preserve"> lub lokalizacji punktów obserwacyjnych i </w:t>
      </w:r>
      <w:proofErr w:type="spellStart"/>
      <w:r w:rsidR="00A171F4" w:rsidRPr="00885605">
        <w:rPr>
          <w:rFonts w:ascii="Times New Roman" w:hAnsi="Times New Roman"/>
          <w:sz w:val="24"/>
          <w:szCs w:val="24"/>
        </w:rPr>
        <w:t>transektów</w:t>
      </w:r>
      <w:proofErr w:type="spellEnd"/>
      <w:r w:rsidRPr="00885605">
        <w:rPr>
          <w:rFonts w:ascii="Times New Roman" w:hAnsi="Times New Roman"/>
          <w:sz w:val="24"/>
          <w:szCs w:val="24"/>
        </w:rPr>
        <w:t>.</w:t>
      </w:r>
      <w:r w:rsidR="003E1A8C" w:rsidRPr="00885605">
        <w:rPr>
          <w:rFonts w:ascii="Times New Roman" w:hAnsi="Times New Roman"/>
          <w:sz w:val="24"/>
          <w:szCs w:val="24"/>
        </w:rPr>
        <w:t xml:space="preserve"> Po przesłaniu propozycji modyfikacji e-mailem oraz faksem do sekretariatu </w:t>
      </w:r>
      <w:r w:rsidR="00206463" w:rsidRPr="00885605">
        <w:rPr>
          <w:rFonts w:ascii="Times New Roman" w:hAnsi="Times New Roman"/>
          <w:sz w:val="24"/>
          <w:szCs w:val="24"/>
        </w:rPr>
        <w:t xml:space="preserve">tut. Organu </w:t>
      </w:r>
      <w:r w:rsidR="003E1A8C" w:rsidRPr="00885605">
        <w:rPr>
          <w:rFonts w:ascii="Times New Roman" w:hAnsi="Times New Roman"/>
          <w:sz w:val="24"/>
          <w:szCs w:val="24"/>
        </w:rPr>
        <w:t>dokumentacja zostanie zaakceptowana lub naniesione zostaną poprawki przez tut. Organ w ciągu 7 dni od daty otrzymania propozycji.</w:t>
      </w:r>
      <w:r w:rsidR="00B5740B" w:rsidRPr="00885605">
        <w:rPr>
          <w:rFonts w:ascii="Times New Roman" w:hAnsi="Times New Roman"/>
          <w:sz w:val="24"/>
          <w:szCs w:val="24"/>
        </w:rPr>
        <w:t xml:space="preserve"> </w:t>
      </w:r>
    </w:p>
    <w:p w:rsidR="00885605" w:rsidRPr="00885605" w:rsidRDefault="00DD229E"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t xml:space="preserve">Do ww. terminów dotyczących wszystkich dokumentów nie wlicza się czasu uzyskiwania przez tut. Organ wyjaśnień i uzupełnień od Wykonawcy. </w:t>
      </w:r>
    </w:p>
    <w:p w:rsidR="00885605" w:rsidRPr="00885605" w:rsidRDefault="002E7B06"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lastRenderedPageBreak/>
        <w:t>Wykonawca zobowiązany jest pracować zgodnie z metodyką zaakceptowaną przez Regionalnego Dyrektora Ochrony Środowiska w Bydgoszczy, lub metodyką zaproponowaną przez Wykonawcę po naniesieniu uwag tut. Organu.</w:t>
      </w:r>
    </w:p>
    <w:p w:rsidR="00885605" w:rsidRDefault="00673037"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t xml:space="preserve">Na </w:t>
      </w:r>
      <w:r w:rsidR="00C22477" w:rsidRPr="00885605">
        <w:rPr>
          <w:rFonts w:ascii="Times New Roman" w:hAnsi="Times New Roman"/>
          <w:sz w:val="24"/>
          <w:szCs w:val="24"/>
        </w:rPr>
        <w:t xml:space="preserve">podstawie uzyskanych wyników z badań terenowych zostanie przygotowany raport z monitoringu </w:t>
      </w:r>
      <w:r w:rsidR="00614E69" w:rsidRPr="00885605">
        <w:rPr>
          <w:rFonts w:ascii="Times New Roman" w:hAnsi="Times New Roman"/>
          <w:sz w:val="24"/>
          <w:szCs w:val="24"/>
        </w:rPr>
        <w:t xml:space="preserve">i uzupełnienia stanu wiedzy </w:t>
      </w:r>
      <w:r w:rsidR="00C22477" w:rsidRPr="00885605">
        <w:rPr>
          <w:rFonts w:ascii="Times New Roman" w:hAnsi="Times New Roman"/>
          <w:sz w:val="24"/>
          <w:szCs w:val="24"/>
        </w:rPr>
        <w:t>zawierający m.in. takie parametry jak</w:t>
      </w:r>
      <w:r w:rsidR="00A529F7">
        <w:rPr>
          <w:rFonts w:ascii="Times New Roman" w:hAnsi="Times New Roman"/>
          <w:sz w:val="24"/>
          <w:szCs w:val="24"/>
        </w:rPr>
        <w:t>:</w:t>
      </w:r>
      <w:r w:rsidR="00C22477" w:rsidRPr="00885605">
        <w:rPr>
          <w:rFonts w:ascii="Times New Roman" w:hAnsi="Times New Roman"/>
          <w:sz w:val="24"/>
          <w:szCs w:val="24"/>
        </w:rPr>
        <w:t xml:space="preserve"> skład gatunkowy, liczebność, zagęszczenie, rozmieszczenie gatunków ptaków</w:t>
      </w:r>
      <w:r w:rsidR="00A529F7">
        <w:rPr>
          <w:rFonts w:ascii="Times New Roman" w:hAnsi="Times New Roman"/>
          <w:sz w:val="24"/>
          <w:szCs w:val="24"/>
        </w:rPr>
        <w:t xml:space="preserve"> </w:t>
      </w:r>
      <w:r w:rsidR="00C22477" w:rsidRPr="00885605">
        <w:rPr>
          <w:rFonts w:ascii="Times New Roman" w:hAnsi="Times New Roman"/>
          <w:sz w:val="24"/>
          <w:szCs w:val="24"/>
        </w:rPr>
        <w:t xml:space="preserve">(w postaci </w:t>
      </w:r>
      <w:r w:rsidR="00C47601" w:rsidRPr="00885605">
        <w:rPr>
          <w:rFonts w:ascii="Times New Roman" w:hAnsi="Times New Roman"/>
          <w:sz w:val="24"/>
          <w:szCs w:val="24"/>
        </w:rPr>
        <w:t>załączników graficznych – mapy)</w:t>
      </w:r>
      <w:r w:rsidR="001C1581" w:rsidRPr="00885605">
        <w:rPr>
          <w:rFonts w:ascii="Times New Roman" w:hAnsi="Times New Roman"/>
          <w:sz w:val="24"/>
          <w:szCs w:val="24"/>
        </w:rPr>
        <w:t>.</w:t>
      </w:r>
      <w:r w:rsidR="00C22477" w:rsidRPr="00885605">
        <w:rPr>
          <w:rFonts w:ascii="Times New Roman" w:hAnsi="Times New Roman"/>
          <w:sz w:val="24"/>
          <w:szCs w:val="24"/>
        </w:rPr>
        <w:t xml:space="preserve"> </w:t>
      </w:r>
      <w:r w:rsidR="006D0498" w:rsidRPr="00885605">
        <w:rPr>
          <w:rFonts w:ascii="Times New Roman" w:hAnsi="Times New Roman"/>
          <w:sz w:val="24"/>
          <w:szCs w:val="24"/>
        </w:rPr>
        <w:t xml:space="preserve">Dla każdego z przedmiotów ochrony obszaru Natura 2000 </w:t>
      </w:r>
      <w:r w:rsidR="00614E69" w:rsidRPr="00885605">
        <w:rPr>
          <w:rFonts w:ascii="Times New Roman" w:hAnsi="Times New Roman"/>
          <w:sz w:val="24"/>
          <w:szCs w:val="24"/>
        </w:rPr>
        <w:t xml:space="preserve">Błota </w:t>
      </w:r>
      <w:proofErr w:type="spellStart"/>
      <w:r w:rsidR="00614E69" w:rsidRPr="00885605">
        <w:rPr>
          <w:rFonts w:ascii="Times New Roman" w:hAnsi="Times New Roman"/>
          <w:sz w:val="24"/>
          <w:szCs w:val="24"/>
        </w:rPr>
        <w:t>Rakutowskie</w:t>
      </w:r>
      <w:proofErr w:type="spellEnd"/>
      <w:r w:rsidR="006D0498" w:rsidRPr="00885605">
        <w:rPr>
          <w:rFonts w:ascii="Times New Roman" w:hAnsi="Times New Roman"/>
          <w:sz w:val="24"/>
          <w:szCs w:val="24"/>
        </w:rPr>
        <w:t xml:space="preserve"> zostanie </w:t>
      </w:r>
      <w:r w:rsidR="00614E69" w:rsidRPr="00885605">
        <w:rPr>
          <w:rFonts w:ascii="Times New Roman" w:hAnsi="Times New Roman"/>
          <w:sz w:val="24"/>
          <w:szCs w:val="24"/>
        </w:rPr>
        <w:t xml:space="preserve">przeprowadzona </w:t>
      </w:r>
      <w:r w:rsidR="00264AB6">
        <w:rPr>
          <w:rFonts w:ascii="Times New Roman" w:hAnsi="Times New Roman"/>
          <w:sz w:val="24"/>
          <w:szCs w:val="24"/>
        </w:rPr>
        <w:t xml:space="preserve">ocena stanu zachowania siedlisk </w:t>
      </w:r>
      <w:r w:rsidR="00614E69" w:rsidRPr="00885605">
        <w:rPr>
          <w:rFonts w:ascii="Times New Roman" w:hAnsi="Times New Roman"/>
          <w:sz w:val="24"/>
          <w:szCs w:val="24"/>
        </w:rPr>
        <w:t xml:space="preserve">i ocena wpływu drapieżników oraz </w:t>
      </w:r>
      <w:r w:rsidR="006D0498" w:rsidRPr="00885605">
        <w:rPr>
          <w:rFonts w:ascii="Times New Roman" w:hAnsi="Times New Roman"/>
          <w:sz w:val="24"/>
          <w:szCs w:val="24"/>
        </w:rPr>
        <w:t>okre</w:t>
      </w:r>
      <w:r w:rsidR="00F76641" w:rsidRPr="00885605">
        <w:rPr>
          <w:rFonts w:ascii="Times New Roman" w:hAnsi="Times New Roman"/>
          <w:sz w:val="24"/>
          <w:szCs w:val="24"/>
        </w:rPr>
        <w:t xml:space="preserve">ślony </w:t>
      </w:r>
      <w:r w:rsidR="00614E69" w:rsidRPr="00885605">
        <w:rPr>
          <w:rFonts w:ascii="Times New Roman" w:hAnsi="Times New Roman"/>
          <w:sz w:val="24"/>
          <w:szCs w:val="24"/>
        </w:rPr>
        <w:t xml:space="preserve">zostanie </w:t>
      </w:r>
      <w:r w:rsidR="00264AB6">
        <w:rPr>
          <w:rFonts w:ascii="Times New Roman" w:hAnsi="Times New Roman"/>
          <w:sz w:val="24"/>
          <w:szCs w:val="24"/>
        </w:rPr>
        <w:t xml:space="preserve">stan ochrony zgodnie </w:t>
      </w:r>
      <w:r w:rsidR="00F76641" w:rsidRPr="00885605">
        <w:rPr>
          <w:rFonts w:ascii="Times New Roman" w:hAnsi="Times New Roman"/>
          <w:sz w:val="24"/>
          <w:szCs w:val="24"/>
        </w:rPr>
        <w:t>z rozporządzeniem Ministra Środowiska z dnia 17 lutego 2010 r. w sprawie sporządzania projektu planu zadań ochronnych dla obszaru Natura 2000 (</w:t>
      </w:r>
      <w:r w:rsidR="00D56DF2" w:rsidRPr="00885605">
        <w:rPr>
          <w:rFonts w:ascii="Times New Roman" w:hAnsi="Times New Roman"/>
          <w:sz w:val="24"/>
          <w:szCs w:val="24"/>
        </w:rPr>
        <w:t>D</w:t>
      </w:r>
      <w:r w:rsidR="00F76641" w:rsidRPr="00885605">
        <w:rPr>
          <w:rFonts w:ascii="Times New Roman" w:hAnsi="Times New Roman"/>
          <w:sz w:val="24"/>
          <w:szCs w:val="24"/>
        </w:rPr>
        <w:t>z. U. Nr 34, poz. 186 z</w:t>
      </w:r>
      <w:r w:rsidR="00E25C97">
        <w:rPr>
          <w:rFonts w:ascii="Times New Roman" w:hAnsi="Times New Roman"/>
          <w:sz w:val="24"/>
          <w:szCs w:val="24"/>
        </w:rPr>
        <w:t>e</w:t>
      </w:r>
      <w:r w:rsidR="00F76641" w:rsidRPr="00885605">
        <w:rPr>
          <w:rFonts w:ascii="Times New Roman" w:hAnsi="Times New Roman"/>
          <w:sz w:val="24"/>
          <w:szCs w:val="24"/>
        </w:rPr>
        <w:t xml:space="preserve"> zm.)</w:t>
      </w:r>
      <w:r w:rsidR="00614E69" w:rsidRPr="00885605">
        <w:rPr>
          <w:rFonts w:ascii="Times New Roman" w:hAnsi="Times New Roman"/>
          <w:sz w:val="24"/>
          <w:szCs w:val="24"/>
        </w:rPr>
        <w:t>.</w:t>
      </w:r>
    </w:p>
    <w:p w:rsidR="00885605" w:rsidRPr="00885605" w:rsidRDefault="00885605" w:rsidP="00885605">
      <w:pPr>
        <w:pStyle w:val="Akapitzlist"/>
        <w:numPr>
          <w:ilvl w:val="0"/>
          <w:numId w:val="37"/>
        </w:numPr>
        <w:jc w:val="both"/>
        <w:rPr>
          <w:rFonts w:ascii="Times New Roman" w:hAnsi="Times New Roman"/>
          <w:sz w:val="24"/>
          <w:szCs w:val="24"/>
        </w:rPr>
      </w:pPr>
      <w:r>
        <w:rPr>
          <w:rFonts w:ascii="Times New Roman" w:hAnsi="Times New Roman"/>
          <w:sz w:val="24"/>
          <w:szCs w:val="24"/>
        </w:rPr>
        <w:t xml:space="preserve">Przygotowane zostaną mapy przedstawiające </w:t>
      </w:r>
      <w:r w:rsidRPr="00885605">
        <w:rPr>
          <w:rFonts w:ascii="Times New Roman" w:hAnsi="Times New Roman"/>
          <w:sz w:val="24"/>
          <w:szCs w:val="24"/>
        </w:rPr>
        <w:t>lokalizacj</w:t>
      </w:r>
      <w:r w:rsidR="00A529F7">
        <w:rPr>
          <w:rFonts w:ascii="Times New Roman" w:hAnsi="Times New Roman"/>
          <w:sz w:val="24"/>
          <w:szCs w:val="24"/>
        </w:rPr>
        <w:t>e</w:t>
      </w:r>
      <w:r w:rsidRPr="00885605">
        <w:rPr>
          <w:rFonts w:ascii="Times New Roman" w:hAnsi="Times New Roman"/>
          <w:sz w:val="24"/>
          <w:szCs w:val="24"/>
        </w:rPr>
        <w:t xml:space="preserve"> powierzchni wymagających działań związanych z odtworzeniem siedlisk łąkowych</w:t>
      </w:r>
      <w:r w:rsidR="00264AB6">
        <w:rPr>
          <w:rFonts w:ascii="Times New Roman" w:hAnsi="Times New Roman"/>
          <w:sz w:val="24"/>
          <w:szCs w:val="24"/>
        </w:rPr>
        <w:t>.</w:t>
      </w:r>
    </w:p>
    <w:p w:rsidR="00885605" w:rsidRPr="00885605" w:rsidRDefault="006D0498"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t>Przygotowane zostaną</w:t>
      </w:r>
      <w:r w:rsidR="00C22477" w:rsidRPr="00885605">
        <w:rPr>
          <w:rFonts w:ascii="Times New Roman" w:hAnsi="Times New Roman"/>
          <w:sz w:val="24"/>
          <w:szCs w:val="24"/>
        </w:rPr>
        <w:t xml:space="preserve"> map</w:t>
      </w:r>
      <w:r w:rsidRPr="00885605">
        <w:rPr>
          <w:rFonts w:ascii="Times New Roman" w:hAnsi="Times New Roman"/>
          <w:sz w:val="24"/>
          <w:szCs w:val="24"/>
        </w:rPr>
        <w:t>y</w:t>
      </w:r>
      <w:r w:rsidR="00C22477" w:rsidRPr="00885605">
        <w:rPr>
          <w:rFonts w:ascii="Times New Roman" w:hAnsi="Times New Roman"/>
          <w:sz w:val="24"/>
          <w:szCs w:val="24"/>
        </w:rPr>
        <w:t xml:space="preserve"> przedstawiając</w:t>
      </w:r>
      <w:r w:rsidRPr="00885605">
        <w:rPr>
          <w:rFonts w:ascii="Times New Roman" w:hAnsi="Times New Roman"/>
          <w:sz w:val="24"/>
          <w:szCs w:val="24"/>
        </w:rPr>
        <w:t>e</w:t>
      </w:r>
      <w:r w:rsidR="00C22477" w:rsidRPr="00885605">
        <w:rPr>
          <w:rFonts w:ascii="Times New Roman" w:hAnsi="Times New Roman"/>
          <w:sz w:val="24"/>
          <w:szCs w:val="24"/>
        </w:rPr>
        <w:t xml:space="preserve"> podstawowe zagrożenia - wraz z ich ujęciem przestrzennym - stwierdzone podczas prowadzenia badań w terenie</w:t>
      </w:r>
      <w:r w:rsidR="00C51325" w:rsidRPr="00885605">
        <w:rPr>
          <w:rFonts w:ascii="Times New Roman" w:hAnsi="Times New Roman"/>
          <w:sz w:val="24"/>
          <w:szCs w:val="24"/>
        </w:rPr>
        <w:t>.</w:t>
      </w:r>
    </w:p>
    <w:p w:rsidR="00440AF9" w:rsidRPr="00885605" w:rsidRDefault="00440AF9" w:rsidP="00885605">
      <w:pPr>
        <w:pStyle w:val="Akapitzlist"/>
        <w:numPr>
          <w:ilvl w:val="0"/>
          <w:numId w:val="37"/>
        </w:numPr>
        <w:jc w:val="both"/>
        <w:rPr>
          <w:rFonts w:ascii="Times New Roman" w:hAnsi="Times New Roman"/>
          <w:sz w:val="24"/>
          <w:szCs w:val="24"/>
        </w:rPr>
      </w:pPr>
      <w:r w:rsidRPr="00885605">
        <w:rPr>
          <w:rFonts w:ascii="Times New Roman" w:hAnsi="Times New Roman"/>
          <w:sz w:val="24"/>
          <w:szCs w:val="24"/>
        </w:rPr>
        <w:t>Wykonawca uzyska wszelkie zezwolenia konieczne do realizacji projektu i pokryje związane z tym koszty.</w:t>
      </w:r>
    </w:p>
    <w:p w:rsidR="00D6103F" w:rsidRPr="009530E1" w:rsidRDefault="00D6103F" w:rsidP="009530E1">
      <w:pPr>
        <w:suppressAutoHyphens/>
        <w:spacing w:line="276" w:lineRule="auto"/>
        <w:jc w:val="both"/>
      </w:pPr>
    </w:p>
    <w:p w:rsidR="00D34ED2" w:rsidRPr="009530E1" w:rsidRDefault="00D6103F" w:rsidP="009530E1">
      <w:pPr>
        <w:suppressAutoHyphens/>
        <w:spacing w:line="276" w:lineRule="auto"/>
        <w:jc w:val="both"/>
        <w:rPr>
          <w:rFonts w:eastAsia="UniversPro-Bold"/>
          <w:b/>
        </w:rPr>
      </w:pPr>
      <w:r w:rsidRPr="009530E1">
        <w:rPr>
          <w:b/>
        </w:rPr>
        <w:t xml:space="preserve">III. </w:t>
      </w:r>
      <w:r w:rsidR="003B43C6" w:rsidRPr="009530E1">
        <w:rPr>
          <w:rFonts w:eastAsia="UniversPro-Bold"/>
          <w:b/>
        </w:rPr>
        <w:t>Terminy</w:t>
      </w:r>
      <w:r w:rsidR="0044649B" w:rsidRPr="009530E1">
        <w:rPr>
          <w:rFonts w:eastAsia="UniversPro-Bold"/>
          <w:b/>
        </w:rPr>
        <w:t>:</w:t>
      </w:r>
    </w:p>
    <w:p w:rsidR="00D34ED2" w:rsidRPr="009530E1" w:rsidRDefault="00D34ED2" w:rsidP="009530E1">
      <w:pPr>
        <w:suppressAutoHyphens/>
        <w:spacing w:line="276" w:lineRule="auto"/>
        <w:jc w:val="both"/>
        <w:rPr>
          <w:rFonts w:eastAsia="UniversPro-Bold"/>
          <w:b/>
        </w:rPr>
      </w:pPr>
    </w:p>
    <w:p w:rsidR="00D34ED2" w:rsidRPr="009530E1" w:rsidRDefault="00D34ED2" w:rsidP="009530E1">
      <w:pPr>
        <w:numPr>
          <w:ilvl w:val="0"/>
          <w:numId w:val="6"/>
        </w:numPr>
        <w:suppressAutoHyphens/>
        <w:spacing w:line="276" w:lineRule="auto"/>
        <w:ind w:left="426"/>
        <w:jc w:val="both"/>
        <w:rPr>
          <w:rFonts w:eastAsia="UniversPro-Bold"/>
          <w:b/>
        </w:rPr>
      </w:pPr>
      <w:r w:rsidRPr="009530E1">
        <w:rPr>
          <w:color w:val="000000"/>
        </w:rPr>
        <w:t xml:space="preserve">Etap pierwszy obejmuje okres </w:t>
      </w:r>
      <w:r w:rsidR="00EB62C4">
        <w:rPr>
          <w:color w:val="000000"/>
        </w:rPr>
        <w:t>28</w:t>
      </w:r>
      <w:r w:rsidR="0083289B">
        <w:rPr>
          <w:color w:val="000000"/>
        </w:rPr>
        <w:t xml:space="preserve"> dni </w:t>
      </w:r>
      <w:r w:rsidR="00EB62C4">
        <w:rPr>
          <w:color w:val="000000"/>
        </w:rPr>
        <w:t>od zawarcia umowy:</w:t>
      </w:r>
    </w:p>
    <w:p w:rsidR="00D34ED2" w:rsidRPr="009530E1" w:rsidRDefault="00D34ED2" w:rsidP="009530E1">
      <w:pPr>
        <w:numPr>
          <w:ilvl w:val="0"/>
          <w:numId w:val="7"/>
        </w:numPr>
        <w:suppressAutoHyphens/>
        <w:spacing w:line="276" w:lineRule="auto"/>
        <w:ind w:left="1134"/>
        <w:jc w:val="both"/>
        <w:rPr>
          <w:rFonts w:eastAsia="UniversPro-Bold"/>
          <w:b/>
        </w:rPr>
      </w:pPr>
      <w:r w:rsidRPr="009530E1">
        <w:rPr>
          <w:color w:val="000000"/>
        </w:rPr>
        <w:t xml:space="preserve">Rozpoczęcie realizacji przedmiotu zamówienia – w dniu podpisania umowy; </w:t>
      </w:r>
    </w:p>
    <w:p w:rsidR="00725945" w:rsidRDefault="00264AB6" w:rsidP="009530E1">
      <w:pPr>
        <w:numPr>
          <w:ilvl w:val="0"/>
          <w:numId w:val="7"/>
        </w:numPr>
        <w:suppressAutoHyphens/>
        <w:spacing w:line="276" w:lineRule="auto"/>
        <w:ind w:left="1134"/>
        <w:jc w:val="both"/>
        <w:rPr>
          <w:rFonts w:eastAsia="UniversPro-Bold"/>
          <w:b/>
        </w:rPr>
      </w:pPr>
      <w:r w:rsidRPr="004437CF">
        <w:rPr>
          <w:color w:val="000000"/>
        </w:rPr>
        <w:t>Wykonawca zaproponuje</w:t>
      </w:r>
      <w:r w:rsidR="00D34ED2" w:rsidRPr="009530E1">
        <w:rPr>
          <w:color w:val="000000"/>
        </w:rPr>
        <w:t xml:space="preserve">. </w:t>
      </w:r>
    </w:p>
    <w:p w:rsidR="00D34ED2" w:rsidRPr="00725945" w:rsidRDefault="00725945" w:rsidP="009530E1">
      <w:pPr>
        <w:numPr>
          <w:ilvl w:val="0"/>
          <w:numId w:val="7"/>
        </w:numPr>
        <w:suppressAutoHyphens/>
        <w:spacing w:line="276" w:lineRule="auto"/>
        <w:ind w:left="1134"/>
        <w:jc w:val="both"/>
        <w:rPr>
          <w:rFonts w:eastAsia="UniversPro-Bold"/>
          <w:b/>
        </w:rPr>
      </w:pPr>
      <w:r w:rsidRPr="00725945">
        <w:rPr>
          <w:color w:val="000000"/>
        </w:rPr>
        <w:t>Wykonawca dostarczy na adres Regionalnej Dyrekcji Ochrony Środowiska</w:t>
      </w:r>
      <w:r w:rsidRPr="00725945">
        <w:rPr>
          <w:rFonts w:eastAsia="UniversPro-Bold"/>
          <w:b/>
        </w:rPr>
        <w:br/>
      </w:r>
      <w:r w:rsidRPr="00725945">
        <w:rPr>
          <w:color w:val="000000"/>
        </w:rPr>
        <w:t xml:space="preserve">w Bydgoszczy dokumentację z etapu I </w:t>
      </w:r>
      <w:r w:rsidR="00EB62C4">
        <w:rPr>
          <w:color w:val="000000"/>
        </w:rPr>
        <w:t xml:space="preserve">zawierającą </w:t>
      </w:r>
      <w:r w:rsidR="00EB62C4" w:rsidRPr="004437CF">
        <w:rPr>
          <w:color w:val="000000"/>
        </w:rPr>
        <w:t>dokładną lokalizację powierzchni badawczych (</w:t>
      </w:r>
      <w:proofErr w:type="spellStart"/>
      <w:r w:rsidR="00EB62C4" w:rsidRPr="004437CF">
        <w:rPr>
          <w:color w:val="000000"/>
        </w:rPr>
        <w:t>transektów</w:t>
      </w:r>
      <w:proofErr w:type="spellEnd"/>
      <w:r w:rsidR="00EB62C4" w:rsidRPr="004437CF">
        <w:rPr>
          <w:rFonts w:eastAsia="UniversPro-Bold"/>
          <w:b/>
        </w:rPr>
        <w:t xml:space="preserve"> </w:t>
      </w:r>
      <w:r w:rsidR="00EB62C4" w:rsidRPr="004437CF">
        <w:rPr>
          <w:color w:val="000000"/>
        </w:rPr>
        <w:t>i punktów obserwacyjnych, co zostanie naniesione na mapy poglądowe) oraz metodykę i harmonogram badań terenowych</w:t>
      </w:r>
      <w:r w:rsidR="00EB62C4" w:rsidRPr="00725945">
        <w:rPr>
          <w:color w:val="000000"/>
        </w:rPr>
        <w:t xml:space="preserve"> </w:t>
      </w:r>
      <w:r w:rsidRPr="00725945">
        <w:rPr>
          <w:color w:val="000000"/>
        </w:rPr>
        <w:t>w ilości 1</w:t>
      </w:r>
      <w:r w:rsidR="00EB62C4">
        <w:rPr>
          <w:color w:val="000000"/>
        </w:rPr>
        <w:t xml:space="preserve"> egzemplarza drukowanego oraz 1 egzemplarza na płycie</w:t>
      </w:r>
      <w:r w:rsidRPr="00725945">
        <w:rPr>
          <w:color w:val="000000"/>
        </w:rPr>
        <w:t xml:space="preserve"> CD</w:t>
      </w:r>
      <w:r w:rsidR="00EB62C4">
        <w:rPr>
          <w:color w:val="000000"/>
        </w:rPr>
        <w:t xml:space="preserve"> w ciągu 14 dni od podpisania umowy</w:t>
      </w:r>
      <w:r w:rsidR="00D34ED2" w:rsidRPr="00725945">
        <w:rPr>
          <w:color w:val="000000"/>
        </w:rPr>
        <w:t>.</w:t>
      </w:r>
    </w:p>
    <w:p w:rsidR="00D34ED2" w:rsidRPr="009530E1" w:rsidRDefault="00D34ED2" w:rsidP="009530E1">
      <w:pPr>
        <w:numPr>
          <w:ilvl w:val="0"/>
          <w:numId w:val="7"/>
        </w:numPr>
        <w:suppressAutoHyphens/>
        <w:spacing w:line="276" w:lineRule="auto"/>
        <w:ind w:left="1134"/>
        <w:jc w:val="both"/>
        <w:rPr>
          <w:rFonts w:eastAsia="UniversPro-Bold"/>
          <w:b/>
        </w:rPr>
      </w:pPr>
      <w:r w:rsidRPr="009530E1">
        <w:rPr>
          <w:color w:val="000000"/>
        </w:rPr>
        <w:t xml:space="preserve">Zamawiający zgłosi uwagi do dokumentacji </w:t>
      </w:r>
      <w:r w:rsidR="00EB62C4">
        <w:rPr>
          <w:color w:val="000000"/>
        </w:rPr>
        <w:t>w ciągu 5 dni od otrzymania dokumentacji, o której mowa w pkt. III ust. 1 lit. c)</w:t>
      </w:r>
      <w:r w:rsidRPr="009530E1">
        <w:rPr>
          <w:color w:val="000000"/>
        </w:rPr>
        <w:t>.</w:t>
      </w:r>
    </w:p>
    <w:p w:rsidR="00D34ED2" w:rsidRPr="009530E1" w:rsidRDefault="00D34ED2" w:rsidP="009530E1">
      <w:pPr>
        <w:numPr>
          <w:ilvl w:val="0"/>
          <w:numId w:val="7"/>
        </w:numPr>
        <w:suppressAutoHyphens/>
        <w:spacing w:line="276" w:lineRule="auto"/>
        <w:ind w:left="1134"/>
        <w:jc w:val="both"/>
        <w:rPr>
          <w:rFonts w:eastAsia="UniversPro-Bold"/>
          <w:b/>
        </w:rPr>
      </w:pPr>
      <w:r w:rsidRPr="009530E1">
        <w:rPr>
          <w:color w:val="000000"/>
        </w:rPr>
        <w:t>Wersja ostateczna (z naniesionymi poprawkami wynikającymi z uzgodnień</w:t>
      </w:r>
      <w:r w:rsidR="00B6744A">
        <w:rPr>
          <w:rFonts w:eastAsia="UniversPro-Bold"/>
          <w:b/>
        </w:rPr>
        <w:br/>
      </w:r>
      <w:r w:rsidRPr="009530E1">
        <w:rPr>
          <w:color w:val="000000"/>
        </w:rPr>
        <w:t>z Zamawiającym) dokumentacji z Etapu I w kompletnej ilości egzemplarzy</w:t>
      </w:r>
      <w:r w:rsidR="00B6744A">
        <w:rPr>
          <w:rFonts w:eastAsia="UniversPro-Bold"/>
          <w:b/>
        </w:rPr>
        <w:br/>
      </w:r>
      <w:r w:rsidRPr="009530E1">
        <w:rPr>
          <w:color w:val="000000"/>
        </w:rPr>
        <w:t xml:space="preserve">z uwzględnionymi uwagami zostanie dostarczona przez Wykonawcę na adres Regionalnej Dyrekcji Ochrony Środowiska w Bydgoszczy </w:t>
      </w:r>
      <w:r w:rsidR="00EB62C4">
        <w:rPr>
          <w:color w:val="000000"/>
        </w:rPr>
        <w:t xml:space="preserve">w ciągu 5 dni od otrzymania uwag, o których mowa w </w:t>
      </w:r>
      <w:r w:rsidR="00EB62C4">
        <w:rPr>
          <w:color w:val="000000"/>
        </w:rPr>
        <w:t xml:space="preserve">pkt. III ust. 1 lit. </w:t>
      </w:r>
      <w:r w:rsidR="00EB62C4">
        <w:rPr>
          <w:color w:val="000000"/>
        </w:rPr>
        <w:t>d</w:t>
      </w:r>
      <w:r w:rsidR="00EB62C4">
        <w:rPr>
          <w:color w:val="000000"/>
        </w:rPr>
        <w:t>)</w:t>
      </w:r>
      <w:r w:rsidRPr="009530E1">
        <w:rPr>
          <w:color w:val="000000"/>
        </w:rPr>
        <w:t xml:space="preserve">. </w:t>
      </w:r>
    </w:p>
    <w:p w:rsidR="00D34ED2" w:rsidRPr="009530E1" w:rsidRDefault="00EB62C4" w:rsidP="009530E1">
      <w:pPr>
        <w:numPr>
          <w:ilvl w:val="0"/>
          <w:numId w:val="7"/>
        </w:numPr>
        <w:suppressAutoHyphens/>
        <w:spacing w:line="276" w:lineRule="auto"/>
        <w:ind w:left="1134"/>
        <w:jc w:val="both"/>
        <w:rPr>
          <w:rFonts w:eastAsia="UniversPro-Bold"/>
          <w:b/>
        </w:rPr>
      </w:pPr>
      <w:r>
        <w:rPr>
          <w:color w:val="000000"/>
        </w:rPr>
        <w:t>W ciągu 4 dni od dostarczenia przez Wykonawcę dokumentacji, o której mowa w</w:t>
      </w:r>
      <w:r w:rsidRPr="00EB62C4">
        <w:rPr>
          <w:color w:val="000000"/>
        </w:rPr>
        <w:t xml:space="preserve"> </w:t>
      </w:r>
      <w:r>
        <w:rPr>
          <w:color w:val="000000"/>
        </w:rPr>
        <w:t xml:space="preserve">pkt. III ust. 1 lit. </w:t>
      </w:r>
      <w:r>
        <w:rPr>
          <w:color w:val="000000"/>
        </w:rPr>
        <w:t>e</w:t>
      </w:r>
      <w:r>
        <w:rPr>
          <w:color w:val="000000"/>
        </w:rPr>
        <w:t>)</w:t>
      </w:r>
      <w:r>
        <w:rPr>
          <w:color w:val="000000"/>
        </w:rPr>
        <w:t xml:space="preserve"> </w:t>
      </w:r>
      <w:r w:rsidR="00D34ED2" w:rsidRPr="009530E1">
        <w:rPr>
          <w:color w:val="000000"/>
        </w:rPr>
        <w:t xml:space="preserve"> nastąpi odbiór ww. dokumentacji na podstawie protokołu zdawczo – odbiorczego podpisanego przez Zamawiającego i Wykonawcę,</w:t>
      </w:r>
    </w:p>
    <w:p w:rsidR="00D34ED2" w:rsidRPr="009530E1" w:rsidRDefault="00D34ED2" w:rsidP="009530E1">
      <w:pPr>
        <w:widowControl w:val="0"/>
        <w:spacing w:line="276" w:lineRule="auto"/>
        <w:ind w:left="720"/>
        <w:jc w:val="both"/>
        <w:rPr>
          <w:color w:val="000000"/>
        </w:rPr>
      </w:pPr>
    </w:p>
    <w:p w:rsidR="00D34ED2" w:rsidRPr="009530E1" w:rsidRDefault="00D34ED2" w:rsidP="009530E1">
      <w:pPr>
        <w:widowControl w:val="0"/>
        <w:numPr>
          <w:ilvl w:val="0"/>
          <w:numId w:val="6"/>
        </w:numPr>
        <w:spacing w:line="276" w:lineRule="auto"/>
        <w:ind w:left="426"/>
        <w:jc w:val="both"/>
        <w:rPr>
          <w:color w:val="000000"/>
        </w:rPr>
      </w:pPr>
      <w:r w:rsidRPr="009530E1">
        <w:rPr>
          <w:color w:val="000000"/>
        </w:rPr>
        <w:t>Etap drugi obejmuje ok</w:t>
      </w:r>
      <w:r w:rsidR="00A529F7">
        <w:rPr>
          <w:color w:val="000000"/>
        </w:rPr>
        <w:t xml:space="preserve">res od zakończenia I etapu do </w:t>
      </w:r>
      <w:r w:rsidR="005C09D4">
        <w:rPr>
          <w:color w:val="000000"/>
        </w:rPr>
        <w:t>7 grudnia</w:t>
      </w:r>
      <w:r w:rsidRPr="009530E1">
        <w:rPr>
          <w:color w:val="000000"/>
        </w:rPr>
        <w:t xml:space="preserve"> 2018 r.</w:t>
      </w:r>
    </w:p>
    <w:p w:rsidR="00D34ED2" w:rsidRPr="009530E1" w:rsidRDefault="00D34ED2" w:rsidP="009530E1">
      <w:pPr>
        <w:widowControl w:val="0"/>
        <w:numPr>
          <w:ilvl w:val="0"/>
          <w:numId w:val="8"/>
        </w:numPr>
        <w:spacing w:line="276" w:lineRule="auto"/>
        <w:ind w:left="993"/>
        <w:jc w:val="both"/>
        <w:rPr>
          <w:color w:val="000000"/>
        </w:rPr>
      </w:pPr>
      <w:r w:rsidRPr="009530E1">
        <w:rPr>
          <w:color w:val="000000"/>
        </w:rPr>
        <w:t>Wykonawca sporzą</w:t>
      </w:r>
      <w:r w:rsidR="00055EB6">
        <w:rPr>
          <w:color w:val="000000"/>
        </w:rPr>
        <w:t>dzenia następujące opracowania</w:t>
      </w:r>
      <w:r w:rsidRPr="009530E1">
        <w:rPr>
          <w:color w:val="000000"/>
        </w:rPr>
        <w:t>:</w:t>
      </w:r>
    </w:p>
    <w:p w:rsidR="00D34ED2" w:rsidRDefault="00D34ED2" w:rsidP="009530E1">
      <w:pPr>
        <w:widowControl w:val="0"/>
        <w:spacing w:line="276" w:lineRule="auto"/>
        <w:ind w:left="993"/>
        <w:jc w:val="both"/>
        <w:rPr>
          <w:color w:val="000000"/>
        </w:rPr>
      </w:pPr>
      <w:r w:rsidRPr="00A529F7">
        <w:rPr>
          <w:color w:val="000000"/>
        </w:rPr>
        <w:lastRenderedPageBreak/>
        <w:t xml:space="preserve">- końcowy raport z monitoringu ornitologicznego </w:t>
      </w:r>
      <w:r w:rsidR="00D94739">
        <w:rPr>
          <w:color w:val="000000"/>
        </w:rPr>
        <w:t xml:space="preserve">i uzupełnienia stanu wiedzy </w:t>
      </w:r>
      <w:r w:rsidR="00055EB6">
        <w:rPr>
          <w:color w:val="000000"/>
        </w:rPr>
        <w:t xml:space="preserve">zawierający wyniki badań, o których mowa w pkt. II ust. 1 oraz m.in. </w:t>
      </w:r>
      <w:r w:rsidRPr="00A529F7">
        <w:rPr>
          <w:color w:val="000000"/>
        </w:rPr>
        <w:t xml:space="preserve">takie parametry jak: </w:t>
      </w:r>
      <w:r w:rsidR="00885605" w:rsidRPr="00885605">
        <w:t>skład gatunkowy, liczebność, zagęszczenie, rozmieszczenie gatunków ptaków</w:t>
      </w:r>
      <w:r w:rsidR="00A529F7">
        <w:t xml:space="preserve"> </w:t>
      </w:r>
      <w:r w:rsidR="00885605" w:rsidRPr="00885605">
        <w:t xml:space="preserve">(w postaci załączników graficznych – mapy). Dla każdego z przedmiotów ochrony obszaru Natura 2000 Błota </w:t>
      </w:r>
      <w:proofErr w:type="spellStart"/>
      <w:r w:rsidR="00885605" w:rsidRPr="00885605">
        <w:t>Rakutowskie</w:t>
      </w:r>
      <w:proofErr w:type="spellEnd"/>
      <w:r w:rsidR="00885605" w:rsidRPr="00885605">
        <w:t xml:space="preserve"> zostanie przeprowadzona ocena stanu zachowania siedlisk i ocena wpływu drapieżników oraz określony zostanie stan ochrony zgodnie z rozp</w:t>
      </w:r>
      <w:r w:rsidR="00055EB6">
        <w:t xml:space="preserve">orządzeniem Ministra Środowiska </w:t>
      </w:r>
      <w:r w:rsidR="00885605" w:rsidRPr="00885605">
        <w:t>z dnia 17 lutego 2010 r. w sprawie sporządzania projektu planu zadań ochronnych dla obszaru Natura 2000 (Dz. U. Nr 34, poz. 186 z</w:t>
      </w:r>
      <w:r w:rsidR="00D94739">
        <w:t>e</w:t>
      </w:r>
      <w:r w:rsidR="00885605" w:rsidRPr="00885605">
        <w:t xml:space="preserve"> zm.</w:t>
      </w:r>
      <w:r w:rsidR="00885605" w:rsidRPr="00A529F7">
        <w:t>)</w:t>
      </w:r>
      <w:r w:rsidRPr="00A529F7">
        <w:rPr>
          <w:color w:val="000000"/>
        </w:rPr>
        <w:t>,</w:t>
      </w:r>
    </w:p>
    <w:p w:rsidR="00A529F7" w:rsidRPr="00885605" w:rsidRDefault="00A529F7" w:rsidP="009530E1">
      <w:pPr>
        <w:widowControl w:val="0"/>
        <w:spacing w:line="276" w:lineRule="auto"/>
        <w:ind w:left="993"/>
        <w:jc w:val="both"/>
        <w:rPr>
          <w:color w:val="000000"/>
          <w:highlight w:val="yellow"/>
        </w:rPr>
      </w:pPr>
      <w:r>
        <w:t>- mapy przedstawiające lokalizacje</w:t>
      </w:r>
      <w:r w:rsidRPr="00885605">
        <w:t xml:space="preserve"> powierzchni wymagających działań związanych z odtworzeniem siedlisk łąkowych</w:t>
      </w:r>
      <w:r>
        <w:t>,</w:t>
      </w:r>
    </w:p>
    <w:p w:rsidR="00D34ED2" w:rsidRPr="00A529F7" w:rsidRDefault="00D34ED2" w:rsidP="009530E1">
      <w:pPr>
        <w:widowControl w:val="0"/>
        <w:spacing w:line="276" w:lineRule="auto"/>
        <w:ind w:left="993"/>
        <w:jc w:val="both"/>
        <w:rPr>
          <w:color w:val="000000"/>
        </w:rPr>
      </w:pPr>
      <w:r w:rsidRPr="00A529F7">
        <w:rPr>
          <w:color w:val="000000"/>
        </w:rPr>
        <w:t xml:space="preserve">- mapy przedstawiające podstawowe zagrożenia </w:t>
      </w:r>
      <w:r w:rsidR="00A529F7" w:rsidRPr="00A529F7">
        <w:rPr>
          <w:color w:val="000000"/>
        </w:rPr>
        <w:t xml:space="preserve">stwierdzone podczas prowadzenia badań w terenie </w:t>
      </w:r>
      <w:r w:rsidRPr="00A529F7">
        <w:rPr>
          <w:color w:val="000000"/>
        </w:rPr>
        <w:t>wr</w:t>
      </w:r>
      <w:r w:rsidR="00A529F7">
        <w:rPr>
          <w:color w:val="000000"/>
        </w:rPr>
        <w:t>az z ich ujęciem przestrzennym</w:t>
      </w:r>
      <w:r w:rsidRPr="00A529F7">
        <w:rPr>
          <w:color w:val="000000"/>
        </w:rPr>
        <w:t>.</w:t>
      </w:r>
    </w:p>
    <w:p w:rsidR="00D34ED2" w:rsidRPr="00A529F7" w:rsidRDefault="00D34ED2" w:rsidP="009530E1">
      <w:pPr>
        <w:widowControl w:val="0"/>
        <w:numPr>
          <w:ilvl w:val="0"/>
          <w:numId w:val="8"/>
        </w:numPr>
        <w:spacing w:line="276" w:lineRule="auto"/>
        <w:ind w:left="993"/>
        <w:jc w:val="both"/>
        <w:rPr>
          <w:color w:val="000000"/>
        </w:rPr>
      </w:pPr>
      <w:r w:rsidRPr="00A529F7">
        <w:rPr>
          <w:color w:val="000000"/>
        </w:rPr>
        <w:t xml:space="preserve">Wykonawca dostarczy kompletną dokumentację na adres Regionalnej Dyrekcji Ochrony Środowiska w Bydgoszczy w ilości 1 egzemplarza drukowanego oraz 2 egzemplarzy na płytach CD wraz z uwzględnionymi w trakcie prac uwagami oraz odniesieniem się do kwestii będących przedmiotem opracowania do </w:t>
      </w:r>
      <w:r w:rsidR="00055EB6">
        <w:rPr>
          <w:color w:val="000000"/>
        </w:rPr>
        <w:t>19</w:t>
      </w:r>
      <w:r w:rsidR="00A529F7">
        <w:rPr>
          <w:color w:val="000000"/>
        </w:rPr>
        <w:t xml:space="preserve"> listopada</w:t>
      </w:r>
      <w:r w:rsidRPr="00A529F7">
        <w:rPr>
          <w:color w:val="000000"/>
        </w:rPr>
        <w:t xml:space="preserve"> 2018 r. Dokumentacja ta zawierać będzie elementy wymienione w </w:t>
      </w:r>
      <w:r w:rsidR="00055EB6">
        <w:rPr>
          <w:color w:val="000000"/>
        </w:rPr>
        <w:t xml:space="preserve">pkt. III ust. 2 </w:t>
      </w:r>
      <w:r w:rsidR="00D94739">
        <w:rPr>
          <w:color w:val="000000"/>
        </w:rPr>
        <w:t>lit</w:t>
      </w:r>
      <w:r w:rsidR="00055EB6">
        <w:rPr>
          <w:color w:val="000000"/>
        </w:rPr>
        <w:t>.</w:t>
      </w:r>
      <w:r w:rsidR="00D94739">
        <w:rPr>
          <w:color w:val="000000"/>
        </w:rPr>
        <w:t xml:space="preserve"> a</w:t>
      </w:r>
      <w:r w:rsidR="00055EB6">
        <w:rPr>
          <w:color w:val="000000"/>
        </w:rPr>
        <w:t>)</w:t>
      </w:r>
      <w:r w:rsidRPr="00A529F7">
        <w:rPr>
          <w:color w:val="000000"/>
        </w:rPr>
        <w:t>.</w:t>
      </w:r>
    </w:p>
    <w:p w:rsidR="00D34ED2" w:rsidRPr="00A529F7" w:rsidRDefault="00D34ED2" w:rsidP="009530E1">
      <w:pPr>
        <w:widowControl w:val="0"/>
        <w:numPr>
          <w:ilvl w:val="0"/>
          <w:numId w:val="8"/>
        </w:numPr>
        <w:spacing w:line="276" w:lineRule="auto"/>
        <w:ind w:left="993"/>
        <w:jc w:val="both"/>
        <w:rPr>
          <w:color w:val="000000"/>
        </w:rPr>
      </w:pPr>
      <w:r w:rsidRPr="00A529F7">
        <w:rPr>
          <w:color w:val="000000"/>
        </w:rPr>
        <w:t xml:space="preserve">Zamawiający zgłosi uwagi </w:t>
      </w:r>
      <w:r w:rsidR="00A529F7" w:rsidRPr="00A529F7">
        <w:rPr>
          <w:color w:val="000000"/>
        </w:rPr>
        <w:t xml:space="preserve">do dokumentacji do </w:t>
      </w:r>
      <w:r w:rsidR="00055EB6">
        <w:rPr>
          <w:color w:val="000000"/>
        </w:rPr>
        <w:t>23</w:t>
      </w:r>
      <w:r w:rsidRPr="00A529F7">
        <w:rPr>
          <w:color w:val="000000"/>
        </w:rPr>
        <w:t xml:space="preserve"> </w:t>
      </w:r>
      <w:r w:rsidR="00A529F7" w:rsidRPr="00A529F7">
        <w:rPr>
          <w:color w:val="000000"/>
        </w:rPr>
        <w:t>listopada</w:t>
      </w:r>
      <w:r w:rsidRPr="00A529F7">
        <w:rPr>
          <w:color w:val="000000"/>
        </w:rPr>
        <w:t xml:space="preserve"> 2018 r</w:t>
      </w:r>
    </w:p>
    <w:p w:rsidR="00D34ED2" w:rsidRPr="00A529F7" w:rsidRDefault="00D34ED2" w:rsidP="009530E1">
      <w:pPr>
        <w:widowControl w:val="0"/>
        <w:numPr>
          <w:ilvl w:val="0"/>
          <w:numId w:val="8"/>
        </w:numPr>
        <w:spacing w:line="276" w:lineRule="auto"/>
        <w:ind w:left="993"/>
        <w:jc w:val="both"/>
        <w:rPr>
          <w:color w:val="000000"/>
        </w:rPr>
      </w:pPr>
      <w:r w:rsidRPr="00A529F7">
        <w:rPr>
          <w:color w:val="000000"/>
        </w:rPr>
        <w:t>Wersja ostateczna dokumentacji (z nanie</w:t>
      </w:r>
      <w:r w:rsidR="00B6744A">
        <w:rPr>
          <w:color w:val="000000"/>
        </w:rPr>
        <w:t>sionymi poprawkami wynikającymi</w:t>
      </w:r>
      <w:r w:rsidR="00B6744A">
        <w:rPr>
          <w:color w:val="000000"/>
        </w:rPr>
        <w:br/>
      </w:r>
      <w:r w:rsidRPr="00A529F7">
        <w:rPr>
          <w:color w:val="000000"/>
        </w:rPr>
        <w:t xml:space="preserve">z uzgodnień z Zamawiającym), o której mowa w </w:t>
      </w:r>
      <w:r w:rsidR="008C0658">
        <w:rPr>
          <w:color w:val="000000"/>
        </w:rPr>
        <w:t xml:space="preserve">pkt. III </w:t>
      </w:r>
      <w:r w:rsidRPr="00A529F7">
        <w:rPr>
          <w:color w:val="000000"/>
        </w:rPr>
        <w:t xml:space="preserve">ust. </w:t>
      </w:r>
      <w:r w:rsidR="008C0658">
        <w:rPr>
          <w:color w:val="000000"/>
        </w:rPr>
        <w:t>2 lit c)</w:t>
      </w:r>
      <w:r w:rsidRPr="00A529F7">
        <w:rPr>
          <w:color w:val="000000"/>
        </w:rPr>
        <w:t xml:space="preserve"> w kompletnej ilości egzemplarzy (zgodnej z załącznikiem nr 1) zostanie d</w:t>
      </w:r>
      <w:r w:rsidR="00A529F7" w:rsidRPr="00A529F7">
        <w:rPr>
          <w:color w:val="000000"/>
        </w:rPr>
        <w:t xml:space="preserve">ostarczona przez Wykonawcę do </w:t>
      </w:r>
      <w:r w:rsidR="008C0658">
        <w:rPr>
          <w:color w:val="000000"/>
        </w:rPr>
        <w:t>3 grudnia</w:t>
      </w:r>
      <w:r w:rsidRPr="00A529F7">
        <w:rPr>
          <w:color w:val="000000"/>
        </w:rPr>
        <w:t xml:space="preserve"> 2018 r. na adres Regionalnej Dyrekcji Ochrony Środowiska w Bydgoszczy.</w:t>
      </w:r>
    </w:p>
    <w:p w:rsidR="002277FD" w:rsidRPr="0087469E" w:rsidRDefault="00A529F7" w:rsidP="009530E1">
      <w:pPr>
        <w:widowControl w:val="0"/>
        <w:numPr>
          <w:ilvl w:val="0"/>
          <w:numId w:val="8"/>
        </w:numPr>
        <w:spacing w:line="276" w:lineRule="auto"/>
        <w:ind w:left="993"/>
        <w:jc w:val="both"/>
        <w:rPr>
          <w:color w:val="000000"/>
        </w:rPr>
      </w:pPr>
      <w:r w:rsidRPr="0087469E">
        <w:rPr>
          <w:color w:val="000000"/>
        </w:rPr>
        <w:t xml:space="preserve">Do dnia </w:t>
      </w:r>
      <w:r w:rsidR="008C0658">
        <w:rPr>
          <w:color w:val="000000"/>
        </w:rPr>
        <w:t>7 grudnia</w:t>
      </w:r>
      <w:r w:rsidR="00D34ED2" w:rsidRPr="0087469E">
        <w:rPr>
          <w:color w:val="000000"/>
        </w:rPr>
        <w:t xml:space="preserve"> 2018 r. nastąpi odbiór ww. dokumentacji z </w:t>
      </w:r>
      <w:r w:rsidR="008C0658">
        <w:rPr>
          <w:color w:val="000000"/>
        </w:rPr>
        <w:t xml:space="preserve">pkt. III ust. 2 </w:t>
      </w:r>
      <w:r w:rsidR="0087469E" w:rsidRPr="0087469E">
        <w:rPr>
          <w:color w:val="000000"/>
        </w:rPr>
        <w:t>lit</w:t>
      </w:r>
      <w:r w:rsidR="008C0658">
        <w:rPr>
          <w:color w:val="000000"/>
        </w:rPr>
        <w:t>.</w:t>
      </w:r>
      <w:bookmarkStart w:id="1" w:name="_GoBack"/>
      <w:bookmarkEnd w:id="1"/>
      <w:r w:rsidR="0087469E" w:rsidRPr="0087469E">
        <w:rPr>
          <w:color w:val="000000"/>
        </w:rPr>
        <w:t xml:space="preserve"> e)</w:t>
      </w:r>
      <w:r w:rsidR="00D34ED2" w:rsidRPr="0087469E">
        <w:rPr>
          <w:color w:val="000000"/>
        </w:rPr>
        <w:t xml:space="preserve"> na podstawie protokołu zdawczo – odbiorczego p</w:t>
      </w:r>
      <w:r w:rsidR="00B6744A">
        <w:rPr>
          <w:color w:val="000000"/>
        </w:rPr>
        <w:t>odpisanego przez Zamawiającego</w:t>
      </w:r>
      <w:r w:rsidR="00B6744A">
        <w:rPr>
          <w:color w:val="000000"/>
        </w:rPr>
        <w:br/>
      </w:r>
      <w:r w:rsidR="00D34ED2" w:rsidRPr="0087469E">
        <w:rPr>
          <w:color w:val="000000"/>
        </w:rPr>
        <w:t>i Wykonawcę.</w:t>
      </w:r>
    </w:p>
    <w:p w:rsidR="0044649B" w:rsidRPr="00885605" w:rsidRDefault="0044649B" w:rsidP="009530E1">
      <w:pPr>
        <w:pStyle w:val="Akapitzlist"/>
        <w:autoSpaceDE w:val="0"/>
        <w:autoSpaceDN w:val="0"/>
        <w:adjustRightInd w:val="0"/>
        <w:spacing w:after="0"/>
        <w:ind w:left="360"/>
        <w:rPr>
          <w:rFonts w:ascii="Times New Roman" w:eastAsia="Times New Roman" w:hAnsi="Times New Roman"/>
          <w:color w:val="000000"/>
          <w:sz w:val="24"/>
          <w:szCs w:val="24"/>
          <w:highlight w:val="yellow"/>
          <w:lang w:eastAsia="pl-PL"/>
        </w:rPr>
      </w:pPr>
    </w:p>
    <w:p w:rsidR="0044649B" w:rsidRPr="00A529F7" w:rsidRDefault="0044649B" w:rsidP="009530E1">
      <w:pPr>
        <w:pStyle w:val="Akapitzlist"/>
        <w:autoSpaceDE w:val="0"/>
        <w:autoSpaceDN w:val="0"/>
        <w:adjustRightInd w:val="0"/>
        <w:spacing w:after="0"/>
        <w:ind w:left="0"/>
        <w:rPr>
          <w:rFonts w:ascii="Times New Roman" w:hAnsi="Times New Roman"/>
          <w:b/>
          <w:sz w:val="24"/>
          <w:szCs w:val="24"/>
        </w:rPr>
      </w:pPr>
      <w:r w:rsidRPr="00A529F7">
        <w:rPr>
          <w:rFonts w:ascii="Times New Roman" w:hAnsi="Times New Roman"/>
          <w:b/>
          <w:sz w:val="24"/>
          <w:szCs w:val="24"/>
        </w:rPr>
        <w:t>IV. Wymogi w zakresie formy dokumentacji:</w:t>
      </w:r>
    </w:p>
    <w:p w:rsidR="0044649B" w:rsidRPr="00A529F7" w:rsidRDefault="0044649B" w:rsidP="009530E1">
      <w:pPr>
        <w:pStyle w:val="Akapitzlist"/>
        <w:autoSpaceDE w:val="0"/>
        <w:autoSpaceDN w:val="0"/>
        <w:adjustRightInd w:val="0"/>
        <w:spacing w:after="0"/>
        <w:ind w:left="0"/>
        <w:jc w:val="both"/>
        <w:rPr>
          <w:rFonts w:ascii="Times New Roman" w:hAnsi="Times New Roman"/>
          <w:b/>
          <w:sz w:val="24"/>
          <w:szCs w:val="24"/>
        </w:rPr>
      </w:pPr>
    </w:p>
    <w:p w:rsidR="0044649B" w:rsidRPr="00A529F7" w:rsidRDefault="0044649B" w:rsidP="009530E1">
      <w:pPr>
        <w:pStyle w:val="Akapitzlist"/>
        <w:numPr>
          <w:ilvl w:val="0"/>
          <w:numId w:val="15"/>
        </w:numPr>
        <w:autoSpaceDE w:val="0"/>
        <w:autoSpaceDN w:val="0"/>
        <w:adjustRightInd w:val="0"/>
        <w:spacing w:after="0"/>
        <w:ind w:left="426"/>
        <w:jc w:val="both"/>
        <w:rPr>
          <w:rFonts w:ascii="Times New Roman" w:hAnsi="Times New Roman"/>
          <w:sz w:val="24"/>
          <w:szCs w:val="24"/>
        </w:rPr>
      </w:pPr>
      <w:r w:rsidRPr="00A529F7">
        <w:rPr>
          <w:rFonts w:ascii="Times New Roman" w:hAnsi="Times New Roman"/>
          <w:sz w:val="24"/>
          <w:szCs w:val="24"/>
        </w:rPr>
        <w:t>Dokumentację należy wykonać w 3 jednakowych egzemplarzach (wraz z wersją elektroniczną na płytach CD):</w:t>
      </w:r>
    </w:p>
    <w:p w:rsidR="0044649B"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napisaną w języku polskim,</w:t>
      </w:r>
    </w:p>
    <w:p w:rsidR="0044649B"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 xml:space="preserve">rozmiar czcionki 12, </w:t>
      </w:r>
    </w:p>
    <w:p w:rsidR="0044649B"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czcionka – Times New Roman,</w:t>
      </w:r>
    </w:p>
    <w:p w:rsidR="0044649B"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format A4,</w:t>
      </w:r>
    </w:p>
    <w:p w:rsidR="0044649B"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dokumentacja trwale zbindowana z okładką zawierającą podpis: „….”, napis ”wykonano na zlecenie Regionalnej Dyrekcji Ochrony Środowiska</w:t>
      </w:r>
      <w:r w:rsidRPr="00A529F7">
        <w:rPr>
          <w:rFonts w:ascii="Times New Roman" w:hAnsi="Times New Roman"/>
          <w:sz w:val="24"/>
          <w:szCs w:val="24"/>
        </w:rPr>
        <w:br/>
        <w:t>w Bydgoszczy”, logo Regionalnej Dyrekcji Ochrony Środowiska w Bydgoszczy oraz dodatkowe oznaczenia wymagane przez instytucję finansującą, które szczegółowo opisane są poniżej,</w:t>
      </w:r>
    </w:p>
    <w:p w:rsidR="0044649B"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płyty CD zawierające: dokumentację w formacie PDF i DOC – płyty oznakowane są podpisem: „….”, logo Regionalnej Dyrekcji Ochrony Środowiska</w:t>
      </w:r>
      <w:r w:rsidRPr="00A529F7">
        <w:rPr>
          <w:rFonts w:ascii="Times New Roman" w:hAnsi="Times New Roman"/>
          <w:sz w:val="24"/>
          <w:szCs w:val="24"/>
        </w:rPr>
        <w:br/>
      </w:r>
      <w:r w:rsidRPr="00A529F7">
        <w:rPr>
          <w:rFonts w:ascii="Times New Roman" w:hAnsi="Times New Roman"/>
          <w:sz w:val="24"/>
          <w:szCs w:val="24"/>
        </w:rPr>
        <w:lastRenderedPageBreak/>
        <w:t>w Bydgoszczy oraz dodatkowo zgodnie z wymaganiami instytucji finansującej, które szczegółowo opisane są poniżej,</w:t>
      </w:r>
    </w:p>
    <w:p w:rsidR="00EE7EF1" w:rsidRPr="00A529F7" w:rsidRDefault="0044649B" w:rsidP="009530E1">
      <w:pPr>
        <w:pStyle w:val="Akapitzlist"/>
        <w:numPr>
          <w:ilvl w:val="0"/>
          <w:numId w:val="16"/>
        </w:numPr>
        <w:autoSpaceDE w:val="0"/>
        <w:autoSpaceDN w:val="0"/>
        <w:adjustRightInd w:val="0"/>
        <w:spacing w:after="0"/>
        <w:ind w:left="993"/>
        <w:jc w:val="both"/>
        <w:rPr>
          <w:rFonts w:ascii="Times New Roman" w:hAnsi="Times New Roman"/>
          <w:sz w:val="24"/>
          <w:szCs w:val="24"/>
        </w:rPr>
      </w:pPr>
      <w:r w:rsidRPr="00A529F7">
        <w:rPr>
          <w:rFonts w:ascii="Times New Roman" w:hAnsi="Times New Roman"/>
          <w:sz w:val="24"/>
          <w:szCs w:val="24"/>
        </w:rPr>
        <w:t xml:space="preserve">mapy tematyczne w formacie JPG 300 </w:t>
      </w:r>
      <w:proofErr w:type="spellStart"/>
      <w:r w:rsidRPr="00A529F7">
        <w:rPr>
          <w:rFonts w:ascii="Times New Roman" w:hAnsi="Times New Roman"/>
          <w:sz w:val="24"/>
          <w:szCs w:val="24"/>
        </w:rPr>
        <w:t>dpi</w:t>
      </w:r>
      <w:proofErr w:type="spellEnd"/>
      <w:r w:rsidRPr="00A529F7">
        <w:rPr>
          <w:rFonts w:ascii="Times New Roman" w:hAnsi="Times New Roman"/>
          <w:sz w:val="24"/>
          <w:szCs w:val="24"/>
        </w:rPr>
        <w:t>. oraz SHP oraz tabelaryczne dane wejściowe w postaci pliku arkusza kalkulacyjnego. Mapy tematyczne, będące integralną częścią dokumentacji, sporządza się w formie cyfrowej</w:t>
      </w:r>
      <w:r w:rsidRPr="00A529F7">
        <w:rPr>
          <w:rFonts w:ascii="Times New Roman" w:hAnsi="Times New Roman"/>
          <w:sz w:val="24"/>
          <w:szCs w:val="24"/>
        </w:rPr>
        <w:br/>
        <w:t xml:space="preserve">z wykorzystaniem systemu informacji przestrzennej GIS oraz w formie wydruków w skali 1:5 000 lub innej zapewniającej czytelność przedstawionych danych po uzgodnieniu z Regionalnym Dyrektorem Ochrony Środowiska w Bydgoszczy. </w:t>
      </w:r>
    </w:p>
    <w:p w:rsidR="00EE7EF1" w:rsidRPr="009530E1" w:rsidRDefault="0044649B" w:rsidP="009530E1">
      <w:pPr>
        <w:pStyle w:val="Akapitzlist"/>
        <w:numPr>
          <w:ilvl w:val="0"/>
          <w:numId w:val="15"/>
        </w:numPr>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 xml:space="preserve">Wykonawca wraz z ostateczną wersją </w:t>
      </w:r>
      <w:r w:rsidR="00EE7EF1" w:rsidRPr="009530E1">
        <w:rPr>
          <w:rFonts w:ascii="Times New Roman" w:hAnsi="Times New Roman"/>
          <w:sz w:val="24"/>
          <w:szCs w:val="24"/>
        </w:rPr>
        <w:t>dokumentacji</w:t>
      </w:r>
      <w:r w:rsidRPr="009530E1">
        <w:rPr>
          <w:rFonts w:ascii="Times New Roman" w:hAnsi="Times New Roman"/>
          <w:sz w:val="24"/>
          <w:szCs w:val="24"/>
        </w:rPr>
        <w:t xml:space="preserve"> przekaże zamawiającemu warstwy mapy numerycznej sporządzone na potrzeby </w:t>
      </w:r>
      <w:r w:rsidR="00EE7EF1" w:rsidRPr="009530E1">
        <w:rPr>
          <w:rFonts w:ascii="Times New Roman" w:hAnsi="Times New Roman"/>
          <w:sz w:val="24"/>
          <w:szCs w:val="24"/>
        </w:rPr>
        <w:t>monitoringu</w:t>
      </w:r>
      <w:r w:rsidRPr="009530E1">
        <w:rPr>
          <w:rFonts w:ascii="Times New Roman" w:hAnsi="Times New Roman"/>
          <w:sz w:val="24"/>
          <w:szCs w:val="24"/>
        </w:rPr>
        <w:t xml:space="preserve"> w układzie współrzędnych PUWG 1992, format ESRI </w:t>
      </w:r>
      <w:proofErr w:type="spellStart"/>
      <w:r w:rsidRPr="009530E1">
        <w:rPr>
          <w:rFonts w:ascii="Times New Roman" w:hAnsi="Times New Roman"/>
          <w:sz w:val="24"/>
          <w:szCs w:val="24"/>
        </w:rPr>
        <w:t>shapefile</w:t>
      </w:r>
      <w:proofErr w:type="spellEnd"/>
      <w:r w:rsidRPr="009530E1">
        <w:rPr>
          <w:rFonts w:ascii="Times New Roman" w:hAnsi="Times New Roman"/>
          <w:sz w:val="24"/>
          <w:szCs w:val="24"/>
        </w:rPr>
        <w:t xml:space="preserve"> (*.</w:t>
      </w:r>
      <w:proofErr w:type="spellStart"/>
      <w:r w:rsidRPr="009530E1">
        <w:rPr>
          <w:rFonts w:ascii="Times New Roman" w:hAnsi="Times New Roman"/>
          <w:sz w:val="24"/>
          <w:szCs w:val="24"/>
        </w:rPr>
        <w:t>shp</w:t>
      </w:r>
      <w:proofErr w:type="spellEnd"/>
      <w:r w:rsidRPr="009530E1">
        <w:rPr>
          <w:rFonts w:ascii="Times New Roman" w:hAnsi="Times New Roman"/>
          <w:sz w:val="24"/>
          <w:szCs w:val="24"/>
        </w:rPr>
        <w:t>). Dodatkowo Wykonawca przygotuje wykazy zawierające opracowane</w:t>
      </w:r>
      <w:r w:rsidR="00EE7EF1" w:rsidRPr="009530E1">
        <w:rPr>
          <w:rFonts w:ascii="Times New Roman" w:hAnsi="Times New Roman"/>
          <w:sz w:val="24"/>
          <w:szCs w:val="24"/>
        </w:rPr>
        <w:t xml:space="preserve"> </w:t>
      </w:r>
      <w:r w:rsidRPr="009530E1">
        <w:rPr>
          <w:rFonts w:ascii="Times New Roman" w:hAnsi="Times New Roman"/>
          <w:sz w:val="24"/>
          <w:szCs w:val="24"/>
        </w:rPr>
        <w:t xml:space="preserve">w ramach </w:t>
      </w:r>
      <w:r w:rsidR="00EE7EF1" w:rsidRPr="009530E1">
        <w:rPr>
          <w:rFonts w:ascii="Times New Roman" w:hAnsi="Times New Roman"/>
          <w:sz w:val="24"/>
          <w:szCs w:val="24"/>
        </w:rPr>
        <w:t>monitoringu</w:t>
      </w:r>
      <w:r w:rsidRPr="009530E1">
        <w:rPr>
          <w:rFonts w:ascii="Times New Roman" w:hAnsi="Times New Roman"/>
          <w:sz w:val="24"/>
          <w:szCs w:val="24"/>
        </w:rPr>
        <w:t xml:space="preserve"> klasy obiektów GIS. Wykaz ma uwzględniać następujące informacje: nazwa pliku *.</w:t>
      </w:r>
      <w:proofErr w:type="spellStart"/>
      <w:r w:rsidRPr="009530E1">
        <w:rPr>
          <w:rFonts w:ascii="Times New Roman" w:hAnsi="Times New Roman"/>
          <w:sz w:val="24"/>
          <w:szCs w:val="24"/>
        </w:rPr>
        <w:t>shp</w:t>
      </w:r>
      <w:proofErr w:type="spellEnd"/>
      <w:r w:rsidRPr="009530E1">
        <w:rPr>
          <w:rFonts w:ascii="Times New Roman" w:hAnsi="Times New Roman"/>
          <w:sz w:val="24"/>
          <w:szCs w:val="24"/>
        </w:rPr>
        <w:t xml:space="preserve">, opis zawartości pliku, źródło danych (np. </w:t>
      </w:r>
      <w:proofErr w:type="spellStart"/>
      <w:r w:rsidRPr="009530E1">
        <w:rPr>
          <w:rFonts w:ascii="Times New Roman" w:hAnsi="Times New Roman"/>
          <w:sz w:val="24"/>
          <w:szCs w:val="24"/>
        </w:rPr>
        <w:t>ortofotomapa</w:t>
      </w:r>
      <w:proofErr w:type="spellEnd"/>
      <w:r w:rsidRPr="009530E1">
        <w:rPr>
          <w:rFonts w:ascii="Times New Roman" w:hAnsi="Times New Roman"/>
          <w:sz w:val="24"/>
          <w:szCs w:val="24"/>
        </w:rPr>
        <w:t xml:space="preserve">, pomiary GPS itp.), </w:t>
      </w:r>
    </w:p>
    <w:p w:rsidR="00EE7EF1" w:rsidRPr="009530E1" w:rsidRDefault="00EE7EF1" w:rsidP="009530E1">
      <w:pPr>
        <w:pStyle w:val="Akapitzlist"/>
        <w:numPr>
          <w:ilvl w:val="0"/>
          <w:numId w:val="15"/>
        </w:numPr>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W</w:t>
      </w:r>
      <w:r w:rsidR="0044649B" w:rsidRPr="009530E1">
        <w:rPr>
          <w:rFonts w:ascii="Times New Roman" w:hAnsi="Times New Roman"/>
          <w:sz w:val="24"/>
          <w:szCs w:val="24"/>
        </w:rPr>
        <w:t>ytyczne dotyczące wydruków map tematycznych:</w:t>
      </w:r>
    </w:p>
    <w:p w:rsidR="00EE7EF1" w:rsidRPr="009530E1" w:rsidRDefault="0044649B" w:rsidP="009530E1">
      <w:pPr>
        <w:pStyle w:val="Akapitzlist"/>
        <w:numPr>
          <w:ilvl w:val="0"/>
          <w:numId w:val="17"/>
        </w:numPr>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oddzielne mapy dla gatunków lęgowych i migrujących oraz mapa zagrożeń;</w:t>
      </w:r>
    </w:p>
    <w:p w:rsidR="00EE7EF1" w:rsidRPr="009530E1" w:rsidRDefault="0044649B" w:rsidP="009530E1">
      <w:pPr>
        <w:pStyle w:val="Akapitzlist"/>
        <w:numPr>
          <w:ilvl w:val="0"/>
          <w:numId w:val="17"/>
        </w:numPr>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na mapie gatunków lęgowych należy uwzględnić:</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stanowiska (np. gniazda, stwierdzenia lęgowe),</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terytoria (np. obszary wykorzystywane przez dany gatunek),</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skupiska stanowisk (np. kolonie lęgowe),</w:t>
      </w:r>
    </w:p>
    <w:p w:rsidR="00EE7EF1" w:rsidRPr="009530E1" w:rsidRDefault="0044649B" w:rsidP="009530E1">
      <w:pPr>
        <w:pStyle w:val="Akapitzlist"/>
        <w:numPr>
          <w:ilvl w:val="0"/>
          <w:numId w:val="17"/>
        </w:numPr>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na mapach gatunków migrujących należy uwzględnić: </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pojedyncze stwierdzenia,</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miejsca koncentracji,</w:t>
      </w:r>
    </w:p>
    <w:p w:rsidR="00EE7EF1" w:rsidRPr="009530E1" w:rsidRDefault="0044649B" w:rsidP="009530E1">
      <w:pPr>
        <w:pStyle w:val="Akapitzlist"/>
        <w:numPr>
          <w:ilvl w:val="0"/>
          <w:numId w:val="17"/>
        </w:numPr>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warstwy mapy numerycznej zawierające dane z inwentaryzacji ornitologicznej muszą uwzględniać następujące atrybuty:</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nazwa polska gatunku,</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nazwa łacińska gatunku,</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status (tabela 1),</w:t>
      </w:r>
    </w:p>
    <w:p w:rsidR="00EE7EF1"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jednostka liczebności (tabela 2),</w:t>
      </w:r>
    </w:p>
    <w:p w:rsidR="0044649B" w:rsidRPr="009530E1" w:rsidRDefault="00EE7EF1" w:rsidP="009530E1">
      <w:pPr>
        <w:pStyle w:val="Akapitzlist"/>
        <w:autoSpaceDE w:val="0"/>
        <w:autoSpaceDN w:val="0"/>
        <w:adjustRightInd w:val="0"/>
        <w:spacing w:after="0"/>
        <w:ind w:left="993"/>
        <w:jc w:val="both"/>
        <w:rPr>
          <w:rFonts w:ascii="Times New Roman" w:hAnsi="Times New Roman"/>
          <w:sz w:val="24"/>
          <w:szCs w:val="24"/>
        </w:rPr>
      </w:pPr>
      <w:r w:rsidRPr="009530E1">
        <w:rPr>
          <w:rFonts w:ascii="Times New Roman" w:hAnsi="Times New Roman"/>
          <w:sz w:val="24"/>
          <w:szCs w:val="24"/>
        </w:rPr>
        <w:t xml:space="preserve">- </w:t>
      </w:r>
      <w:r w:rsidR="0044649B" w:rsidRPr="009530E1">
        <w:rPr>
          <w:rFonts w:ascii="Times New Roman" w:hAnsi="Times New Roman"/>
          <w:sz w:val="24"/>
          <w:szCs w:val="24"/>
        </w:rPr>
        <w:t>liczebność (należy podać dokładną wartość lub liczebność wyrażoną</w:t>
      </w:r>
      <w:r w:rsidR="0044649B" w:rsidRPr="009530E1">
        <w:rPr>
          <w:rFonts w:ascii="Times New Roman" w:hAnsi="Times New Roman"/>
          <w:sz w:val="24"/>
          <w:szCs w:val="24"/>
        </w:rPr>
        <w:br/>
        <w:t>w przedziałach, np. w przypadku gatunków migrujących).</w:t>
      </w:r>
    </w:p>
    <w:p w:rsidR="0044649B" w:rsidRPr="009530E1" w:rsidRDefault="0044649B" w:rsidP="009530E1">
      <w:pPr>
        <w:pStyle w:val="Akapitzlist"/>
        <w:autoSpaceDE w:val="0"/>
        <w:autoSpaceDN w:val="0"/>
        <w:adjustRightInd w:val="0"/>
        <w:spacing w:after="0"/>
        <w:ind w:left="1440"/>
        <w:rPr>
          <w:rFonts w:ascii="Times New Roman" w:hAnsi="Times New Roman"/>
          <w:sz w:val="24"/>
          <w:szCs w:val="24"/>
        </w:rPr>
      </w:pPr>
    </w:p>
    <w:p w:rsidR="0044649B" w:rsidRPr="009530E1" w:rsidRDefault="0044649B" w:rsidP="009530E1">
      <w:pPr>
        <w:pStyle w:val="Akapitzlist"/>
        <w:tabs>
          <w:tab w:val="left" w:pos="2552"/>
        </w:tabs>
        <w:spacing w:after="0"/>
        <w:ind w:left="709"/>
        <w:jc w:val="both"/>
        <w:rPr>
          <w:rFonts w:ascii="Times New Roman" w:hAnsi="Times New Roman"/>
          <w:sz w:val="24"/>
          <w:szCs w:val="24"/>
        </w:rPr>
      </w:pPr>
      <w:r w:rsidRPr="009530E1">
        <w:rPr>
          <w:rFonts w:ascii="Times New Roman" w:hAnsi="Times New Roman"/>
          <w:sz w:val="24"/>
          <w:szCs w:val="24"/>
        </w:rPr>
        <w:t>Tabela 1. Słownik statusu.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609"/>
      </w:tblGrid>
      <w:tr w:rsidR="0044649B" w:rsidRPr="009530E1" w:rsidTr="00B92C07">
        <w:tc>
          <w:tcPr>
            <w:tcW w:w="0" w:type="auto"/>
            <w:tcBorders>
              <w:top w:val="single" w:sz="12" w:space="0" w:color="auto"/>
              <w:left w:val="single" w:sz="12" w:space="0" w:color="auto"/>
              <w:bottom w:val="single" w:sz="12" w:space="0" w:color="auto"/>
              <w:right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Kod</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Opis</w:t>
            </w:r>
          </w:p>
        </w:tc>
      </w:tr>
      <w:tr w:rsidR="0044649B" w:rsidRPr="009530E1" w:rsidTr="00B92C07">
        <w:tc>
          <w:tcPr>
            <w:tcW w:w="0" w:type="auto"/>
            <w:tcBorders>
              <w:top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L</w:t>
            </w:r>
          </w:p>
        </w:tc>
        <w:tc>
          <w:tcPr>
            <w:tcW w:w="0" w:type="auto"/>
            <w:tcBorders>
              <w:top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Lęgowy</w:t>
            </w:r>
          </w:p>
        </w:tc>
      </w:tr>
      <w:tr w:rsidR="0044649B" w:rsidRPr="009530E1" w:rsidTr="00B92C07">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proofErr w:type="spellStart"/>
            <w:r w:rsidRPr="009530E1">
              <w:rPr>
                <w:rFonts w:ascii="Times New Roman" w:hAnsi="Times New Roman"/>
                <w:sz w:val="24"/>
                <w:szCs w:val="24"/>
              </w:rPr>
              <w:t>Lp</w:t>
            </w:r>
            <w:proofErr w:type="spellEnd"/>
          </w:p>
        </w:tc>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Prawdopodobnie lęgowy</w:t>
            </w:r>
          </w:p>
        </w:tc>
      </w:tr>
      <w:tr w:rsidR="0044649B" w:rsidRPr="009530E1" w:rsidTr="00B92C07">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proofErr w:type="spellStart"/>
            <w:r w:rsidRPr="009530E1">
              <w:rPr>
                <w:rFonts w:ascii="Times New Roman" w:hAnsi="Times New Roman"/>
                <w:sz w:val="24"/>
                <w:szCs w:val="24"/>
              </w:rPr>
              <w:t>Mj</w:t>
            </w:r>
            <w:proofErr w:type="spellEnd"/>
          </w:p>
        </w:tc>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Migrujący jesienią</w:t>
            </w:r>
          </w:p>
        </w:tc>
      </w:tr>
      <w:tr w:rsidR="0044649B" w:rsidRPr="009530E1" w:rsidTr="00B92C07">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proofErr w:type="spellStart"/>
            <w:r w:rsidRPr="009530E1">
              <w:rPr>
                <w:rFonts w:ascii="Times New Roman" w:hAnsi="Times New Roman"/>
                <w:sz w:val="24"/>
                <w:szCs w:val="24"/>
              </w:rPr>
              <w:t>Mw</w:t>
            </w:r>
            <w:proofErr w:type="spellEnd"/>
          </w:p>
        </w:tc>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Migrujący wiosną</w:t>
            </w:r>
          </w:p>
        </w:tc>
      </w:tr>
      <w:tr w:rsidR="0044649B" w:rsidRPr="009530E1" w:rsidTr="00B92C07">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N</w:t>
            </w:r>
          </w:p>
        </w:tc>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proofErr w:type="spellStart"/>
            <w:r w:rsidRPr="009530E1">
              <w:rPr>
                <w:rFonts w:ascii="Times New Roman" w:hAnsi="Times New Roman"/>
                <w:sz w:val="24"/>
                <w:szCs w:val="24"/>
              </w:rPr>
              <w:t>Nielęgowy</w:t>
            </w:r>
            <w:proofErr w:type="spellEnd"/>
          </w:p>
        </w:tc>
      </w:tr>
      <w:tr w:rsidR="0044649B" w:rsidRPr="009530E1" w:rsidTr="00B92C07">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K</w:t>
            </w:r>
          </w:p>
        </w:tc>
        <w:tc>
          <w:tcPr>
            <w:tcW w:w="0" w:type="auto"/>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Koczujący</w:t>
            </w:r>
          </w:p>
        </w:tc>
      </w:tr>
    </w:tbl>
    <w:p w:rsidR="0044649B" w:rsidRPr="009530E1" w:rsidRDefault="0044649B" w:rsidP="009530E1">
      <w:pPr>
        <w:pStyle w:val="Akapitzlist"/>
        <w:tabs>
          <w:tab w:val="left" w:pos="2552"/>
        </w:tabs>
        <w:spacing w:after="0"/>
        <w:ind w:left="709"/>
        <w:jc w:val="both"/>
        <w:rPr>
          <w:rFonts w:ascii="Times New Roman" w:hAnsi="Times New Roman"/>
          <w:sz w:val="24"/>
          <w:szCs w:val="24"/>
        </w:rPr>
      </w:pPr>
    </w:p>
    <w:p w:rsidR="0044649B" w:rsidRPr="009530E1" w:rsidRDefault="0044649B" w:rsidP="009530E1">
      <w:pPr>
        <w:pStyle w:val="Akapitzlist"/>
        <w:tabs>
          <w:tab w:val="left" w:pos="2552"/>
        </w:tabs>
        <w:spacing w:after="0"/>
        <w:ind w:left="709"/>
        <w:jc w:val="both"/>
        <w:rPr>
          <w:rFonts w:ascii="Times New Roman" w:hAnsi="Times New Roman"/>
          <w:sz w:val="24"/>
          <w:szCs w:val="24"/>
        </w:rPr>
      </w:pPr>
      <w:r w:rsidRPr="009530E1">
        <w:rPr>
          <w:rFonts w:ascii="Times New Roman" w:hAnsi="Times New Roman"/>
          <w:sz w:val="24"/>
          <w:szCs w:val="24"/>
        </w:rPr>
        <w:t>Tabela 2. Słownik jednostek.</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937"/>
      </w:tblGrid>
      <w:tr w:rsidR="0044649B" w:rsidRPr="009530E1" w:rsidTr="00B92C07">
        <w:tc>
          <w:tcPr>
            <w:tcW w:w="0" w:type="auto"/>
            <w:tcBorders>
              <w:top w:val="single" w:sz="12" w:space="0" w:color="auto"/>
              <w:left w:val="single" w:sz="12" w:space="0" w:color="auto"/>
              <w:bottom w:val="single" w:sz="12" w:space="0" w:color="auto"/>
              <w:right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Kod</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Opis</w:t>
            </w:r>
          </w:p>
        </w:tc>
      </w:tr>
      <w:tr w:rsidR="0044649B" w:rsidRPr="009530E1" w:rsidTr="00B92C07">
        <w:tc>
          <w:tcPr>
            <w:tcW w:w="0" w:type="auto"/>
            <w:tcBorders>
              <w:top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lastRenderedPageBreak/>
              <w:t>p</w:t>
            </w:r>
          </w:p>
        </w:tc>
        <w:tc>
          <w:tcPr>
            <w:tcW w:w="0" w:type="auto"/>
            <w:tcBorders>
              <w:top w:val="single" w:sz="12"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para/pary</w:t>
            </w:r>
          </w:p>
        </w:tc>
      </w:tr>
      <w:tr w:rsidR="0044649B" w:rsidRPr="009530E1" w:rsidTr="00B92C07">
        <w:tc>
          <w:tcPr>
            <w:tcW w:w="0" w:type="auto"/>
            <w:tcBorders>
              <w:bottom w:val="single" w:sz="4"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o</w:t>
            </w:r>
          </w:p>
        </w:tc>
        <w:tc>
          <w:tcPr>
            <w:tcW w:w="0" w:type="auto"/>
            <w:tcBorders>
              <w:bottom w:val="single" w:sz="4"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osobniki/osobniki</w:t>
            </w:r>
          </w:p>
        </w:tc>
      </w:tr>
      <w:tr w:rsidR="0044649B" w:rsidRPr="009530E1" w:rsidTr="00B92C07">
        <w:trPr>
          <w:trHeight w:val="120"/>
        </w:trPr>
        <w:tc>
          <w:tcPr>
            <w:tcW w:w="0" w:type="auto"/>
            <w:tcBorders>
              <w:bottom w:val="single" w:sz="4"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s</w:t>
            </w:r>
          </w:p>
        </w:tc>
        <w:tc>
          <w:tcPr>
            <w:tcW w:w="0" w:type="auto"/>
            <w:tcBorders>
              <w:bottom w:val="single" w:sz="4"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samiec/samce</w:t>
            </w:r>
          </w:p>
        </w:tc>
      </w:tr>
      <w:tr w:rsidR="0044649B" w:rsidRPr="009530E1" w:rsidTr="00B92C07">
        <w:trPr>
          <w:trHeight w:val="150"/>
        </w:trPr>
        <w:tc>
          <w:tcPr>
            <w:tcW w:w="0" w:type="auto"/>
            <w:tcBorders>
              <w:top w:val="single" w:sz="4"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f</w:t>
            </w:r>
          </w:p>
        </w:tc>
        <w:tc>
          <w:tcPr>
            <w:tcW w:w="0" w:type="auto"/>
            <w:tcBorders>
              <w:top w:val="single" w:sz="4" w:space="0" w:color="auto"/>
            </w:tcBorders>
            <w:shd w:val="clear" w:color="auto" w:fill="auto"/>
          </w:tcPr>
          <w:p w:rsidR="0044649B" w:rsidRPr="009530E1" w:rsidRDefault="0044649B" w:rsidP="009530E1">
            <w:pPr>
              <w:pStyle w:val="Akapitzlist"/>
              <w:tabs>
                <w:tab w:val="left" w:pos="2552"/>
              </w:tabs>
              <w:spacing w:after="0"/>
              <w:ind w:left="0"/>
              <w:jc w:val="both"/>
              <w:rPr>
                <w:rFonts w:ascii="Times New Roman" w:hAnsi="Times New Roman"/>
                <w:sz w:val="24"/>
                <w:szCs w:val="24"/>
              </w:rPr>
            </w:pPr>
            <w:r w:rsidRPr="009530E1">
              <w:rPr>
                <w:rFonts w:ascii="Times New Roman" w:hAnsi="Times New Roman"/>
                <w:sz w:val="24"/>
                <w:szCs w:val="24"/>
              </w:rPr>
              <w:t>samica/samice</w:t>
            </w:r>
          </w:p>
        </w:tc>
      </w:tr>
    </w:tbl>
    <w:p w:rsidR="0044649B" w:rsidRPr="009530E1" w:rsidRDefault="0044649B" w:rsidP="009530E1">
      <w:pPr>
        <w:pStyle w:val="Akapitzlist"/>
        <w:autoSpaceDE w:val="0"/>
        <w:autoSpaceDN w:val="0"/>
        <w:adjustRightInd w:val="0"/>
        <w:spacing w:after="0"/>
        <w:ind w:left="1440"/>
        <w:rPr>
          <w:rFonts w:ascii="Times New Roman" w:hAnsi="Times New Roman"/>
          <w:sz w:val="24"/>
          <w:szCs w:val="24"/>
        </w:rPr>
      </w:pPr>
    </w:p>
    <w:p w:rsidR="00EE7EF1" w:rsidRPr="009530E1" w:rsidRDefault="00EE7EF1" w:rsidP="009530E1">
      <w:pPr>
        <w:autoSpaceDE w:val="0"/>
        <w:autoSpaceDN w:val="0"/>
        <w:adjustRightInd w:val="0"/>
        <w:spacing w:line="276" w:lineRule="auto"/>
        <w:rPr>
          <w:rFonts w:eastAsia="Calibri"/>
          <w:b/>
          <w:lang w:eastAsia="en-US"/>
        </w:rPr>
      </w:pPr>
      <w:r w:rsidRPr="009530E1">
        <w:rPr>
          <w:rFonts w:eastAsia="Calibri"/>
          <w:b/>
          <w:lang w:eastAsia="en-US"/>
        </w:rPr>
        <w:t xml:space="preserve">V. </w:t>
      </w:r>
      <w:r w:rsidR="0044649B" w:rsidRPr="009530E1">
        <w:rPr>
          <w:rFonts w:eastAsia="Calibri"/>
          <w:b/>
          <w:lang w:eastAsia="en-US"/>
        </w:rPr>
        <w:t xml:space="preserve">Wymogi </w:t>
      </w:r>
      <w:r w:rsidRPr="009530E1">
        <w:rPr>
          <w:rFonts w:eastAsia="Calibri"/>
          <w:b/>
          <w:lang w:eastAsia="en-US"/>
        </w:rPr>
        <w:t>w zakresie</w:t>
      </w:r>
      <w:r w:rsidR="0044649B" w:rsidRPr="009530E1">
        <w:rPr>
          <w:rFonts w:eastAsia="Calibri"/>
          <w:b/>
          <w:lang w:eastAsia="en-US"/>
        </w:rPr>
        <w:t xml:space="preserve"> oznakowania dokumentacji:</w:t>
      </w:r>
    </w:p>
    <w:p w:rsidR="00EE7EF1" w:rsidRPr="009530E1" w:rsidRDefault="00EE7EF1" w:rsidP="009530E1">
      <w:pPr>
        <w:autoSpaceDE w:val="0"/>
        <w:autoSpaceDN w:val="0"/>
        <w:adjustRightInd w:val="0"/>
        <w:spacing w:line="276" w:lineRule="auto"/>
        <w:rPr>
          <w:rFonts w:eastAsia="Calibri"/>
          <w:b/>
          <w:lang w:eastAsia="en-US"/>
        </w:rPr>
      </w:pPr>
    </w:p>
    <w:p w:rsidR="00EE7EF1" w:rsidRPr="009530E1" w:rsidRDefault="0044649B" w:rsidP="009530E1">
      <w:pPr>
        <w:numPr>
          <w:ilvl w:val="0"/>
          <w:numId w:val="18"/>
        </w:numPr>
        <w:autoSpaceDE w:val="0"/>
        <w:autoSpaceDN w:val="0"/>
        <w:adjustRightInd w:val="0"/>
        <w:spacing w:line="276" w:lineRule="auto"/>
        <w:ind w:left="426"/>
        <w:rPr>
          <w:rFonts w:eastAsia="Calibri"/>
          <w:b/>
          <w:lang w:eastAsia="en-US"/>
        </w:rPr>
      </w:pPr>
      <w:r w:rsidRPr="009530E1">
        <w:t xml:space="preserve">Wszelkie  dokumenty należy zaopatrzyć co najmniej w uproszczone logo </w:t>
      </w:r>
      <w:proofErr w:type="spellStart"/>
      <w:r w:rsidRPr="009530E1">
        <w:t>WFOŚiGW</w:t>
      </w:r>
      <w:proofErr w:type="spellEnd"/>
      <w:r w:rsidRPr="009530E1">
        <w:br/>
        <w:t>w Toruniu oraz, w informację o źródle finansowania w brzmieniu: „Dofinansowano ze środków Wojewódzkiego Funduszu Ochrony Środowiska i Gospodarki Wodnej w Toruniu".</w:t>
      </w:r>
    </w:p>
    <w:p w:rsidR="00EE7EF1" w:rsidRPr="009530E1" w:rsidRDefault="0044649B" w:rsidP="009530E1">
      <w:pPr>
        <w:numPr>
          <w:ilvl w:val="0"/>
          <w:numId w:val="18"/>
        </w:numPr>
        <w:autoSpaceDE w:val="0"/>
        <w:autoSpaceDN w:val="0"/>
        <w:adjustRightInd w:val="0"/>
        <w:spacing w:line="276" w:lineRule="auto"/>
        <w:ind w:left="426"/>
        <w:rPr>
          <w:rFonts w:eastAsia="Calibri"/>
          <w:b/>
          <w:lang w:eastAsia="en-US"/>
        </w:rPr>
      </w:pPr>
      <w:r w:rsidRPr="009530E1">
        <w:t xml:space="preserve">Miejsce umieszczenia logo z informacją:  </w:t>
      </w:r>
    </w:p>
    <w:p w:rsidR="00EE7EF1" w:rsidRPr="009530E1" w:rsidRDefault="0044649B" w:rsidP="009530E1">
      <w:pPr>
        <w:numPr>
          <w:ilvl w:val="0"/>
          <w:numId w:val="17"/>
        </w:numPr>
        <w:autoSpaceDE w:val="0"/>
        <w:autoSpaceDN w:val="0"/>
        <w:adjustRightInd w:val="0"/>
        <w:spacing w:line="276" w:lineRule="auto"/>
        <w:ind w:left="993"/>
        <w:rPr>
          <w:rFonts w:eastAsia="Calibri"/>
          <w:b/>
          <w:lang w:eastAsia="en-US"/>
        </w:rPr>
      </w:pPr>
      <w:r w:rsidRPr="009530E1">
        <w:rPr>
          <w:rFonts w:eastAsia="Calibri"/>
          <w:lang w:eastAsia="en-US"/>
        </w:rPr>
        <w:t>publikacje - na okładce lub na stronie technicznej (druga stro</w:t>
      </w:r>
      <w:r w:rsidR="00EE7EF1" w:rsidRPr="009530E1">
        <w:rPr>
          <w:rFonts w:eastAsia="Calibri"/>
          <w:lang w:eastAsia="en-US"/>
        </w:rPr>
        <w:t>na strony tytułowej),</w:t>
      </w:r>
    </w:p>
    <w:p w:rsidR="00EE7EF1" w:rsidRPr="009530E1" w:rsidRDefault="0044649B" w:rsidP="009530E1">
      <w:pPr>
        <w:numPr>
          <w:ilvl w:val="0"/>
          <w:numId w:val="17"/>
        </w:numPr>
        <w:autoSpaceDE w:val="0"/>
        <w:autoSpaceDN w:val="0"/>
        <w:adjustRightInd w:val="0"/>
        <w:spacing w:line="276" w:lineRule="auto"/>
        <w:ind w:left="993"/>
        <w:rPr>
          <w:rFonts w:eastAsia="Calibri"/>
          <w:b/>
          <w:lang w:eastAsia="en-US"/>
        </w:rPr>
      </w:pPr>
      <w:r w:rsidRPr="009530E1">
        <w:rPr>
          <w:rFonts w:eastAsia="Calibri"/>
          <w:lang w:eastAsia="en-US"/>
        </w:rPr>
        <w:t xml:space="preserve">płyty CD, itp. - na opakowaniach,  </w:t>
      </w:r>
    </w:p>
    <w:p w:rsidR="00EE7EF1" w:rsidRPr="009530E1" w:rsidRDefault="0044649B" w:rsidP="009530E1">
      <w:pPr>
        <w:numPr>
          <w:ilvl w:val="0"/>
          <w:numId w:val="17"/>
        </w:numPr>
        <w:autoSpaceDE w:val="0"/>
        <w:autoSpaceDN w:val="0"/>
        <w:adjustRightInd w:val="0"/>
        <w:spacing w:line="276" w:lineRule="auto"/>
        <w:ind w:left="993"/>
        <w:rPr>
          <w:rFonts w:eastAsia="Calibri"/>
          <w:b/>
          <w:lang w:eastAsia="en-US"/>
        </w:rPr>
      </w:pPr>
      <w:r w:rsidRPr="009530E1">
        <w:rPr>
          <w:rFonts w:eastAsia="Calibri"/>
          <w:lang w:eastAsia="en-US"/>
        </w:rPr>
        <w:t>inne produkty o charakterze reklam</w:t>
      </w:r>
      <w:r w:rsidR="00EE7EF1" w:rsidRPr="009530E1">
        <w:rPr>
          <w:rFonts w:eastAsia="Calibri"/>
          <w:lang w:eastAsia="en-US"/>
        </w:rPr>
        <w:t xml:space="preserve">owo-promocyjnym - na wyrobach. </w:t>
      </w:r>
    </w:p>
    <w:p w:rsidR="00EE7EF1" w:rsidRPr="009530E1" w:rsidRDefault="0044649B" w:rsidP="009530E1">
      <w:pPr>
        <w:numPr>
          <w:ilvl w:val="0"/>
          <w:numId w:val="18"/>
        </w:numPr>
        <w:autoSpaceDE w:val="0"/>
        <w:autoSpaceDN w:val="0"/>
        <w:adjustRightInd w:val="0"/>
        <w:spacing w:line="276" w:lineRule="auto"/>
        <w:ind w:left="426"/>
        <w:rPr>
          <w:rFonts w:eastAsia="Calibri"/>
          <w:b/>
          <w:lang w:eastAsia="en-US"/>
        </w:rPr>
      </w:pPr>
      <w:r w:rsidRPr="009530E1">
        <w:t xml:space="preserve">Wymaganie, jakie musi spełniać logo </w:t>
      </w:r>
      <w:proofErr w:type="spellStart"/>
      <w:r w:rsidRPr="009530E1">
        <w:t>WFOŚiGW</w:t>
      </w:r>
      <w:proofErr w:type="spellEnd"/>
      <w:r w:rsidRPr="009530E1">
        <w:t xml:space="preserve"> w Toruniu:  </w:t>
      </w:r>
    </w:p>
    <w:p w:rsidR="00EE7EF1" w:rsidRPr="009530E1" w:rsidRDefault="0044649B" w:rsidP="009530E1">
      <w:pPr>
        <w:numPr>
          <w:ilvl w:val="0"/>
          <w:numId w:val="20"/>
        </w:numPr>
        <w:autoSpaceDE w:val="0"/>
        <w:autoSpaceDN w:val="0"/>
        <w:adjustRightInd w:val="0"/>
        <w:spacing w:line="276" w:lineRule="auto"/>
        <w:ind w:left="993"/>
        <w:rPr>
          <w:rFonts w:eastAsia="Calibri"/>
          <w:b/>
          <w:lang w:eastAsia="en-US"/>
        </w:rPr>
      </w:pPr>
      <w:r w:rsidRPr="009530E1">
        <w:rPr>
          <w:rFonts w:eastAsia="Calibri"/>
          <w:lang w:eastAsia="en-US"/>
        </w:rPr>
        <w:t xml:space="preserve">rodzaj czcionki: Antykwa Połtawskiego TTF </w:t>
      </w:r>
      <w:proofErr w:type="spellStart"/>
      <w:r w:rsidRPr="009530E1">
        <w:rPr>
          <w:rFonts w:eastAsia="Calibri"/>
          <w:lang w:eastAsia="en-US"/>
        </w:rPr>
        <w:t>Bold</w:t>
      </w:r>
      <w:proofErr w:type="spellEnd"/>
      <w:r w:rsidRPr="009530E1">
        <w:rPr>
          <w:rFonts w:eastAsia="Calibri"/>
          <w:lang w:eastAsia="en-US"/>
        </w:rPr>
        <w:t xml:space="preserve">, </w:t>
      </w:r>
    </w:p>
    <w:p w:rsidR="00EE7EF1" w:rsidRPr="009530E1" w:rsidRDefault="0044649B" w:rsidP="009530E1">
      <w:pPr>
        <w:numPr>
          <w:ilvl w:val="0"/>
          <w:numId w:val="20"/>
        </w:numPr>
        <w:autoSpaceDE w:val="0"/>
        <w:autoSpaceDN w:val="0"/>
        <w:adjustRightInd w:val="0"/>
        <w:spacing w:line="276" w:lineRule="auto"/>
        <w:ind w:left="993"/>
        <w:rPr>
          <w:rFonts w:eastAsia="Calibri"/>
          <w:b/>
          <w:lang w:eastAsia="en-US"/>
        </w:rPr>
      </w:pPr>
      <w:r w:rsidRPr="009530E1">
        <w:rPr>
          <w:rFonts w:eastAsia="Calibri"/>
          <w:lang w:eastAsia="en-US"/>
        </w:rPr>
        <w:t xml:space="preserve">kolor: biały (C: 0, M:0, Y:0, K:0), kolor zielony (C:100 M: 0 Y:80 K:40), </w:t>
      </w:r>
    </w:p>
    <w:p w:rsidR="00EE7EF1" w:rsidRPr="009530E1" w:rsidRDefault="0044649B" w:rsidP="009530E1">
      <w:pPr>
        <w:numPr>
          <w:ilvl w:val="0"/>
          <w:numId w:val="20"/>
        </w:numPr>
        <w:autoSpaceDE w:val="0"/>
        <w:autoSpaceDN w:val="0"/>
        <w:adjustRightInd w:val="0"/>
        <w:spacing w:line="276" w:lineRule="auto"/>
        <w:ind w:left="993"/>
        <w:rPr>
          <w:rFonts w:eastAsia="Calibri"/>
          <w:b/>
          <w:lang w:eastAsia="en-US"/>
        </w:rPr>
      </w:pPr>
      <w:r w:rsidRPr="009530E1">
        <w:t>standardowym  tłem  dla  logo  jest  kolor  biały,  przy  czym  dopuszcza  się</w:t>
      </w:r>
      <w:r w:rsidRPr="009530E1">
        <w:br/>
        <w:t xml:space="preserve">w  uzasadnionych przypadkach stosowanie innego koloru tła niż biały,  </w:t>
      </w:r>
    </w:p>
    <w:p w:rsidR="0044649B" w:rsidRPr="009530E1" w:rsidRDefault="0044649B" w:rsidP="009530E1">
      <w:pPr>
        <w:numPr>
          <w:ilvl w:val="0"/>
          <w:numId w:val="18"/>
        </w:numPr>
        <w:autoSpaceDE w:val="0"/>
        <w:autoSpaceDN w:val="0"/>
        <w:adjustRightInd w:val="0"/>
        <w:spacing w:line="276" w:lineRule="auto"/>
        <w:ind w:left="426"/>
        <w:rPr>
          <w:rFonts w:eastAsia="Calibri"/>
          <w:b/>
          <w:lang w:eastAsia="en-US"/>
        </w:rPr>
      </w:pPr>
      <w:r w:rsidRPr="009530E1">
        <w:t xml:space="preserve">Wzory logo </w:t>
      </w:r>
      <w:proofErr w:type="spellStart"/>
      <w:r w:rsidRPr="009530E1">
        <w:t>WFOŚiGW</w:t>
      </w:r>
      <w:proofErr w:type="spellEnd"/>
      <w:r w:rsidRPr="009530E1">
        <w:t xml:space="preserve"> w Toruniu w układzie poziomym i pionowym wraz z opisem proporcji znaku:  </w:t>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t xml:space="preserve"> </w:t>
      </w:r>
    </w:p>
    <w:p w:rsidR="0044649B" w:rsidRPr="009530E1" w:rsidRDefault="00956ACC" w:rsidP="009530E1">
      <w:pPr>
        <w:pStyle w:val="Akapitzlist"/>
        <w:autoSpaceDE w:val="0"/>
        <w:autoSpaceDN w:val="0"/>
        <w:adjustRightInd w:val="0"/>
        <w:spacing w:after="0"/>
        <w:ind w:left="0"/>
        <w:jc w:val="center"/>
        <w:rPr>
          <w:rFonts w:ascii="Times New Roman" w:hAnsi="Times New Roman"/>
          <w:sz w:val="24"/>
          <w:szCs w:val="24"/>
        </w:rPr>
      </w:pPr>
      <w:r w:rsidRPr="009530E1">
        <w:rPr>
          <w:rFonts w:ascii="Times New Roman" w:hAnsi="Times New Roman"/>
          <w:noProof/>
          <w:sz w:val="24"/>
          <w:szCs w:val="24"/>
          <w:lang w:eastAsia="pl-PL"/>
        </w:rPr>
        <w:drawing>
          <wp:inline distT="0" distB="0" distL="0" distR="0">
            <wp:extent cx="5591175" cy="22479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91175" cy="2247900"/>
                    </a:xfrm>
                    <a:prstGeom prst="rect">
                      <a:avLst/>
                    </a:prstGeom>
                    <a:noFill/>
                    <a:ln>
                      <a:noFill/>
                    </a:ln>
                  </pic:spPr>
                </pic:pic>
              </a:graphicData>
            </a:graphic>
          </wp:inline>
        </w:drawing>
      </w:r>
    </w:p>
    <w:p w:rsidR="0044649B" w:rsidRPr="009530E1" w:rsidRDefault="00956ACC" w:rsidP="009530E1">
      <w:pPr>
        <w:pStyle w:val="Akapitzlist"/>
        <w:autoSpaceDE w:val="0"/>
        <w:autoSpaceDN w:val="0"/>
        <w:adjustRightInd w:val="0"/>
        <w:spacing w:after="0"/>
        <w:ind w:left="0"/>
        <w:jc w:val="center"/>
        <w:rPr>
          <w:rFonts w:ascii="Times New Roman" w:hAnsi="Times New Roman"/>
          <w:sz w:val="24"/>
          <w:szCs w:val="24"/>
        </w:rPr>
      </w:pPr>
      <w:r w:rsidRPr="009530E1">
        <w:rPr>
          <w:rFonts w:ascii="Times New Roman" w:hAnsi="Times New Roman"/>
          <w:noProof/>
          <w:sz w:val="24"/>
          <w:szCs w:val="24"/>
          <w:lang w:eastAsia="pl-PL"/>
        </w:rPr>
        <w:lastRenderedPageBreak/>
        <w:drawing>
          <wp:inline distT="0" distB="0" distL="0" distR="0">
            <wp:extent cx="4410075" cy="409575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0075" cy="4095750"/>
                    </a:xfrm>
                    <a:prstGeom prst="rect">
                      <a:avLst/>
                    </a:prstGeom>
                    <a:noFill/>
                    <a:ln>
                      <a:noFill/>
                    </a:ln>
                  </pic:spPr>
                </pic:pic>
              </a:graphicData>
            </a:graphic>
          </wp:inline>
        </w:drawing>
      </w:r>
    </w:p>
    <w:p w:rsidR="00EE7EF1" w:rsidRPr="009530E1" w:rsidRDefault="0044649B" w:rsidP="009530E1">
      <w:pPr>
        <w:pStyle w:val="Akapitzlist"/>
        <w:numPr>
          <w:ilvl w:val="0"/>
          <w:numId w:val="18"/>
        </w:numPr>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W  przypadku materiałów  reklamowych  i  promocyjnych oraz  artykułów  sponsorowanych stosuje  się logo ze skrótem: „</w:t>
      </w:r>
      <w:proofErr w:type="spellStart"/>
      <w:r w:rsidRPr="009530E1">
        <w:rPr>
          <w:rFonts w:ascii="Times New Roman" w:hAnsi="Times New Roman"/>
          <w:sz w:val="24"/>
          <w:szCs w:val="24"/>
        </w:rPr>
        <w:t>WFOŚiGW</w:t>
      </w:r>
      <w:proofErr w:type="spellEnd"/>
      <w:r w:rsidRPr="009530E1">
        <w:rPr>
          <w:rFonts w:ascii="Times New Roman" w:hAnsi="Times New Roman"/>
          <w:sz w:val="24"/>
          <w:szCs w:val="24"/>
        </w:rPr>
        <w:t xml:space="preserve"> w Toruniu" (w kolorze zielonym, C:100, M:0, Y:80, K:40, czcionka: Antykwa Połtawskiego TTF </w:t>
      </w:r>
      <w:proofErr w:type="spellStart"/>
      <w:r w:rsidRPr="009530E1">
        <w:rPr>
          <w:rFonts w:ascii="Times New Roman" w:hAnsi="Times New Roman"/>
          <w:sz w:val="24"/>
          <w:szCs w:val="24"/>
        </w:rPr>
        <w:t>Bold</w:t>
      </w:r>
      <w:proofErr w:type="spellEnd"/>
      <w:r w:rsidRPr="009530E1">
        <w:rPr>
          <w:rFonts w:ascii="Times New Roman" w:hAnsi="Times New Roman"/>
          <w:sz w:val="24"/>
          <w:szCs w:val="24"/>
        </w:rPr>
        <w:t xml:space="preserve">) lub napisem: „Wojewódzki Fundusz Ochrony Środowiska i Gospodarki Wodnej  w  Toruniu"  (w  kolorze  zielonym  C:100,  M:0,  Y:80,  K:40,  czcionka:  Antykwa  Połtawskiego  TTF  </w:t>
      </w:r>
      <w:proofErr w:type="spellStart"/>
      <w:r w:rsidRPr="009530E1">
        <w:rPr>
          <w:rFonts w:ascii="Times New Roman" w:hAnsi="Times New Roman"/>
          <w:sz w:val="24"/>
          <w:szCs w:val="24"/>
        </w:rPr>
        <w:t>Bold</w:t>
      </w:r>
      <w:proofErr w:type="spellEnd"/>
      <w:r w:rsidRPr="009530E1">
        <w:rPr>
          <w:rFonts w:ascii="Times New Roman" w:hAnsi="Times New Roman"/>
          <w:sz w:val="24"/>
          <w:szCs w:val="24"/>
        </w:rPr>
        <w:t xml:space="preserve">). </w:t>
      </w:r>
    </w:p>
    <w:p w:rsidR="0044649B" w:rsidRPr="009530E1" w:rsidRDefault="0044649B" w:rsidP="009530E1">
      <w:pPr>
        <w:pStyle w:val="Akapitzlist"/>
        <w:numPr>
          <w:ilvl w:val="0"/>
          <w:numId w:val="18"/>
        </w:numPr>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 xml:space="preserve">Istnieje również wersja uproszczona logo, bez żadnego podpisu (w kolorze zielonym C:100, M:0, Y:80, K:40).  </w:t>
      </w:r>
    </w:p>
    <w:p w:rsidR="0044649B" w:rsidRPr="009530E1" w:rsidRDefault="00956ACC" w:rsidP="009530E1">
      <w:pPr>
        <w:pStyle w:val="Akapitzlist"/>
        <w:autoSpaceDE w:val="0"/>
        <w:autoSpaceDN w:val="0"/>
        <w:adjustRightInd w:val="0"/>
        <w:spacing w:after="0"/>
        <w:ind w:left="0"/>
        <w:jc w:val="center"/>
        <w:rPr>
          <w:rFonts w:ascii="Times New Roman" w:hAnsi="Times New Roman"/>
          <w:sz w:val="24"/>
          <w:szCs w:val="24"/>
        </w:rPr>
      </w:pPr>
      <w:r w:rsidRPr="009530E1">
        <w:rPr>
          <w:rFonts w:ascii="Times New Roman" w:hAnsi="Times New Roman"/>
          <w:noProof/>
          <w:sz w:val="24"/>
          <w:szCs w:val="24"/>
          <w:lang w:eastAsia="pl-PL"/>
        </w:rPr>
        <w:drawing>
          <wp:inline distT="0" distB="0" distL="0" distR="0">
            <wp:extent cx="1285875" cy="685800"/>
            <wp:effectExtent l="0" t="0" r="0" b="0"/>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685800"/>
                    </a:xfrm>
                    <a:prstGeom prst="rect">
                      <a:avLst/>
                    </a:prstGeom>
                    <a:noFill/>
                    <a:ln>
                      <a:noFill/>
                    </a:ln>
                  </pic:spPr>
                </pic:pic>
              </a:graphicData>
            </a:graphic>
          </wp:inline>
        </w:drawing>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t xml:space="preserve"> </w:t>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t xml:space="preserve"> </w:t>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t xml:space="preserve"> </w:t>
      </w:r>
    </w:p>
    <w:p w:rsidR="00EE7EF1" w:rsidRPr="009530E1" w:rsidRDefault="0044649B" w:rsidP="009530E1">
      <w:pPr>
        <w:pStyle w:val="Akapitzlist"/>
        <w:numPr>
          <w:ilvl w:val="0"/>
          <w:numId w:val="18"/>
        </w:numPr>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 xml:space="preserve">W  miarę  możliwości  logo  powinno  być  przedstawione  w  wersji  kolorowej.  Standardowym  kolorem jest:  </w:t>
      </w:r>
    </w:p>
    <w:p w:rsidR="00EE7EF1" w:rsidRPr="009530E1" w:rsidRDefault="0044649B" w:rsidP="009530E1">
      <w:pPr>
        <w:pStyle w:val="Akapitzlist"/>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 xml:space="preserve">Zielony:    </w:t>
      </w:r>
      <w:r w:rsidR="00956ACC" w:rsidRPr="009530E1">
        <w:rPr>
          <w:rFonts w:ascii="Times New Roman" w:hAnsi="Times New Roman"/>
          <w:noProof/>
          <w:sz w:val="24"/>
          <w:szCs w:val="24"/>
          <w:lang w:eastAsia="pl-PL"/>
        </w:rPr>
        <w:drawing>
          <wp:inline distT="0" distB="0" distL="0" distR="0">
            <wp:extent cx="828675" cy="209550"/>
            <wp:effectExtent l="0" t="0" r="0"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8675" cy="209550"/>
                    </a:xfrm>
                    <a:prstGeom prst="rect">
                      <a:avLst/>
                    </a:prstGeom>
                    <a:noFill/>
                    <a:ln>
                      <a:noFill/>
                    </a:ln>
                  </pic:spPr>
                </pic:pic>
              </a:graphicData>
            </a:graphic>
          </wp:inline>
        </w:drawing>
      </w:r>
    </w:p>
    <w:p w:rsidR="00EE7EF1" w:rsidRPr="009530E1" w:rsidRDefault="00EE7EF1" w:rsidP="009530E1">
      <w:pPr>
        <w:pStyle w:val="Akapitzlist"/>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C:100, M: 0, Y:80, K:40</w:t>
      </w:r>
    </w:p>
    <w:p w:rsidR="0044649B" w:rsidRPr="009530E1" w:rsidRDefault="0044649B" w:rsidP="009530E1">
      <w:pPr>
        <w:pStyle w:val="Akapitzlist"/>
        <w:autoSpaceDE w:val="0"/>
        <w:autoSpaceDN w:val="0"/>
        <w:adjustRightInd w:val="0"/>
        <w:spacing w:after="0"/>
        <w:ind w:left="426"/>
        <w:jc w:val="both"/>
        <w:rPr>
          <w:rFonts w:ascii="Times New Roman" w:hAnsi="Times New Roman"/>
          <w:sz w:val="24"/>
          <w:szCs w:val="24"/>
        </w:rPr>
      </w:pPr>
      <w:proofErr w:type="spellStart"/>
      <w:r w:rsidRPr="009530E1">
        <w:rPr>
          <w:rFonts w:ascii="Times New Roman" w:hAnsi="Times New Roman"/>
          <w:sz w:val="24"/>
          <w:szCs w:val="24"/>
        </w:rPr>
        <w:t>Pantone</w:t>
      </w:r>
      <w:proofErr w:type="spellEnd"/>
      <w:r w:rsidRPr="009530E1">
        <w:rPr>
          <w:rFonts w:ascii="Times New Roman" w:hAnsi="Times New Roman"/>
          <w:sz w:val="24"/>
          <w:szCs w:val="24"/>
        </w:rPr>
        <w:t xml:space="preserve">: 349 C/U </w:t>
      </w:r>
    </w:p>
    <w:p w:rsidR="0044649B" w:rsidRPr="009530E1" w:rsidRDefault="0044649B" w:rsidP="009530E1">
      <w:pPr>
        <w:pStyle w:val="Akapitzlist"/>
        <w:numPr>
          <w:ilvl w:val="0"/>
          <w:numId w:val="18"/>
        </w:numPr>
        <w:autoSpaceDE w:val="0"/>
        <w:autoSpaceDN w:val="0"/>
        <w:adjustRightInd w:val="0"/>
        <w:spacing w:after="0"/>
        <w:ind w:left="426"/>
        <w:jc w:val="both"/>
        <w:rPr>
          <w:rFonts w:ascii="Times New Roman" w:hAnsi="Times New Roman"/>
          <w:sz w:val="24"/>
          <w:szCs w:val="24"/>
        </w:rPr>
      </w:pPr>
      <w:r w:rsidRPr="009530E1">
        <w:rPr>
          <w:rFonts w:ascii="Times New Roman" w:hAnsi="Times New Roman"/>
          <w:sz w:val="24"/>
          <w:szCs w:val="24"/>
        </w:rPr>
        <w:t>Reprodukcja  w  skali  szarości  powinna  zachować  wszystkie  procentowe  proporcje  znaku  opisane powyżej. Zastosowane barwy to: podstawa - 100 % czerni lub szarość</w:t>
      </w:r>
      <w:r w:rsidR="00EE7EF1" w:rsidRPr="009530E1">
        <w:rPr>
          <w:rFonts w:ascii="Times New Roman" w:hAnsi="Times New Roman"/>
          <w:sz w:val="24"/>
          <w:szCs w:val="24"/>
        </w:rPr>
        <w:t xml:space="preserve"> - 70 % wysycenia czerni.</w:t>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lastRenderedPageBreak/>
        <w:t xml:space="preserve"> </w:t>
      </w:r>
      <w:r w:rsidR="00956ACC" w:rsidRPr="009530E1">
        <w:rPr>
          <w:rFonts w:ascii="Times New Roman" w:hAnsi="Times New Roman"/>
          <w:noProof/>
          <w:sz w:val="24"/>
          <w:szCs w:val="24"/>
          <w:lang w:eastAsia="pl-PL"/>
        </w:rPr>
        <w:drawing>
          <wp:inline distT="0" distB="0" distL="0" distR="0">
            <wp:extent cx="5762625" cy="809625"/>
            <wp:effectExtent l="0" t="0" r="0" b="0"/>
            <wp:docPr id="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809625"/>
                    </a:xfrm>
                    <a:prstGeom prst="rect">
                      <a:avLst/>
                    </a:prstGeom>
                    <a:noFill/>
                    <a:ln>
                      <a:noFill/>
                    </a:ln>
                  </pic:spPr>
                </pic:pic>
              </a:graphicData>
            </a:graphic>
          </wp:inline>
        </w:drawing>
      </w:r>
      <w:r w:rsidR="00956ACC" w:rsidRPr="009530E1">
        <w:rPr>
          <w:rFonts w:ascii="Times New Roman" w:hAnsi="Times New Roman"/>
          <w:noProof/>
          <w:sz w:val="24"/>
          <w:szCs w:val="24"/>
          <w:lang w:eastAsia="pl-PL"/>
        </w:rPr>
        <w:drawing>
          <wp:inline distT="0" distB="0" distL="0" distR="0">
            <wp:extent cx="5762625" cy="809625"/>
            <wp:effectExtent l="0" t="0" r="0" b="0"/>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809625"/>
                    </a:xfrm>
                    <a:prstGeom prst="rect">
                      <a:avLst/>
                    </a:prstGeom>
                    <a:noFill/>
                    <a:ln>
                      <a:noFill/>
                    </a:ln>
                  </pic:spPr>
                </pic:pic>
              </a:graphicData>
            </a:graphic>
          </wp:inline>
        </w:drawing>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t xml:space="preserve"> </w:t>
      </w:r>
    </w:p>
    <w:p w:rsidR="0044649B" w:rsidRPr="009530E1" w:rsidRDefault="0044649B" w:rsidP="009530E1">
      <w:pPr>
        <w:pStyle w:val="Akapitzlist"/>
        <w:autoSpaceDE w:val="0"/>
        <w:autoSpaceDN w:val="0"/>
        <w:adjustRightInd w:val="0"/>
        <w:spacing w:after="0"/>
        <w:ind w:left="0"/>
        <w:jc w:val="both"/>
        <w:rPr>
          <w:rFonts w:ascii="Times New Roman" w:hAnsi="Times New Roman"/>
          <w:sz w:val="24"/>
          <w:szCs w:val="24"/>
        </w:rPr>
      </w:pPr>
      <w:r w:rsidRPr="009530E1">
        <w:rPr>
          <w:rFonts w:ascii="Times New Roman" w:hAnsi="Times New Roman"/>
          <w:sz w:val="24"/>
          <w:szCs w:val="24"/>
        </w:rPr>
        <w:t xml:space="preserve"> </w:t>
      </w:r>
    </w:p>
    <w:p w:rsidR="0044649B" w:rsidRPr="009530E1" w:rsidRDefault="0044649B" w:rsidP="009530E1">
      <w:pPr>
        <w:widowControl w:val="0"/>
        <w:numPr>
          <w:ilvl w:val="0"/>
          <w:numId w:val="18"/>
        </w:numPr>
        <w:spacing w:line="276" w:lineRule="auto"/>
        <w:ind w:left="426"/>
        <w:jc w:val="both"/>
        <w:rPr>
          <w:color w:val="000000"/>
        </w:rPr>
      </w:pPr>
      <w:r w:rsidRPr="009530E1">
        <w:t xml:space="preserve">W uzasadnionych przypadkach, po konsultacji z pracownikiem Regionalnej Dyrekcji Ochrony Środowiska w Bydgoszczy, koordynującym realizację umowy, dopuszczalne jest zastosowanie rozwiązań innych niż wskazane  powyżej, zapewniających skuteczną promocję </w:t>
      </w:r>
      <w:proofErr w:type="spellStart"/>
      <w:r w:rsidRPr="009530E1">
        <w:t>WFOŚiGW</w:t>
      </w:r>
      <w:proofErr w:type="spellEnd"/>
      <w:r w:rsidRPr="009530E1">
        <w:t xml:space="preserve"> w Toruniu.</w:t>
      </w:r>
    </w:p>
    <w:sectPr w:rsidR="0044649B" w:rsidRPr="009530E1" w:rsidSect="00B820A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390" w:rsidRDefault="00105390" w:rsidP="009530E1">
      <w:r>
        <w:separator/>
      </w:r>
    </w:p>
  </w:endnote>
  <w:endnote w:type="continuationSeparator" w:id="0">
    <w:p w:rsidR="00105390" w:rsidRDefault="00105390" w:rsidP="0095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UniversPro-Bold">
    <w:charset w:val="EE"/>
    <w:family w:val="swiss"/>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144" w:rsidRDefault="00B820A8">
    <w:pPr>
      <w:pStyle w:val="Stopka"/>
      <w:jc w:val="right"/>
    </w:pPr>
    <w:r>
      <w:fldChar w:fldCharType="begin"/>
    </w:r>
    <w:r w:rsidR="00270144">
      <w:instrText>PAGE   \* MERGEFORMAT</w:instrText>
    </w:r>
    <w:r>
      <w:fldChar w:fldCharType="separate"/>
    </w:r>
    <w:r w:rsidR="008C0658">
      <w:rPr>
        <w:noProof/>
      </w:rPr>
      <w:t>13</w:t>
    </w:r>
    <w:r>
      <w:fldChar w:fldCharType="end"/>
    </w:r>
  </w:p>
  <w:p w:rsidR="00270144" w:rsidRDefault="002701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390" w:rsidRDefault="00105390" w:rsidP="009530E1">
      <w:r>
        <w:separator/>
      </w:r>
    </w:p>
  </w:footnote>
  <w:footnote w:type="continuationSeparator" w:id="0">
    <w:p w:rsidR="00105390" w:rsidRDefault="00105390" w:rsidP="00953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493C75"/>
    <w:multiLevelType w:val="multilevel"/>
    <w:tmpl w:val="72D27140"/>
    <w:lvl w:ilvl="0">
      <w:start w:val="1"/>
      <w:numFmt w:val="upperRoman"/>
      <w:lvlText w:val="%1"/>
      <w:lvlJc w:val="left"/>
      <w:pPr>
        <w:ind w:left="360" w:hanging="360"/>
      </w:pPr>
      <w:rPr>
        <w:rFonts w:hint="default"/>
      </w:rPr>
    </w:lvl>
    <w:lvl w:ilvl="1">
      <w:start w:val="1"/>
      <w:numFmt w:val="ordin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39C2E9E"/>
    <w:multiLevelType w:val="hybridMultilevel"/>
    <w:tmpl w:val="5AF27D36"/>
    <w:lvl w:ilvl="0" w:tplc="F1421C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E0678"/>
    <w:multiLevelType w:val="hybridMultilevel"/>
    <w:tmpl w:val="AAE24AF8"/>
    <w:lvl w:ilvl="0" w:tplc="94D4FAC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E6088"/>
    <w:multiLevelType w:val="hybridMultilevel"/>
    <w:tmpl w:val="18B087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F6B12"/>
    <w:multiLevelType w:val="hybridMultilevel"/>
    <w:tmpl w:val="A99656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CAF4607"/>
    <w:multiLevelType w:val="hybridMultilevel"/>
    <w:tmpl w:val="AEE89C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A37B0"/>
    <w:multiLevelType w:val="hybridMultilevel"/>
    <w:tmpl w:val="E5904FD8"/>
    <w:lvl w:ilvl="0" w:tplc="9628F6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230BA9"/>
    <w:multiLevelType w:val="hybridMultilevel"/>
    <w:tmpl w:val="3E7698D6"/>
    <w:lvl w:ilvl="0" w:tplc="D9F4068C">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7F3FD0"/>
    <w:multiLevelType w:val="multilevel"/>
    <w:tmpl w:val="72D27140"/>
    <w:lvl w:ilvl="0">
      <w:start w:val="1"/>
      <w:numFmt w:val="upperRoman"/>
      <w:lvlText w:val="%1"/>
      <w:lvlJc w:val="left"/>
      <w:pPr>
        <w:ind w:left="360" w:hanging="360"/>
      </w:pPr>
      <w:rPr>
        <w:rFonts w:hint="default"/>
      </w:rPr>
    </w:lvl>
    <w:lvl w:ilvl="1">
      <w:start w:val="1"/>
      <w:numFmt w:val="ordin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7B22BFD"/>
    <w:multiLevelType w:val="hybridMultilevel"/>
    <w:tmpl w:val="8D1C17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9A0446F"/>
    <w:multiLevelType w:val="hybridMultilevel"/>
    <w:tmpl w:val="895E46CE"/>
    <w:lvl w:ilvl="0" w:tplc="C248FFBC">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A113CAA"/>
    <w:multiLevelType w:val="hybridMultilevel"/>
    <w:tmpl w:val="18E80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3357D9"/>
    <w:multiLevelType w:val="hybridMultilevel"/>
    <w:tmpl w:val="9F0633BE"/>
    <w:lvl w:ilvl="0" w:tplc="47200F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1F03B2"/>
    <w:multiLevelType w:val="hybridMultilevel"/>
    <w:tmpl w:val="FFE6C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A9489F"/>
    <w:multiLevelType w:val="hybridMultilevel"/>
    <w:tmpl w:val="F42CCA3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CEE0AD2"/>
    <w:multiLevelType w:val="hybridMultilevel"/>
    <w:tmpl w:val="9C7CA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1E1670C"/>
    <w:multiLevelType w:val="hybridMultilevel"/>
    <w:tmpl w:val="35CC2A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3607DA"/>
    <w:multiLevelType w:val="hybridMultilevel"/>
    <w:tmpl w:val="AA68DDF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23E418CA"/>
    <w:multiLevelType w:val="multilevel"/>
    <w:tmpl w:val="803E5D94"/>
    <w:lvl w:ilvl="0">
      <w:start w:val="1"/>
      <w:numFmt w:val="upperRoman"/>
      <w:lvlText w:val="%1"/>
      <w:lvlJc w:val="left"/>
      <w:pPr>
        <w:ind w:left="360" w:hanging="360"/>
      </w:pPr>
      <w:rPr>
        <w:rFonts w:hint="default"/>
      </w:rPr>
    </w:lvl>
    <w:lvl w:ilvl="1">
      <w:start w:val="1"/>
      <w:numFmt w:val="ordinal"/>
      <w:lvlText w:val="%2"/>
      <w:lvlJc w:val="left"/>
      <w:pPr>
        <w:ind w:left="720" w:hanging="360"/>
      </w:pPr>
      <w:rPr>
        <w:rFonts w:hint="default"/>
      </w:rPr>
    </w:lvl>
    <w:lvl w:ilvl="2">
      <w:start w:val="1"/>
      <w:numFmt w:val="none"/>
      <w:lvlText w:val="1)"/>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B3E3502"/>
    <w:multiLevelType w:val="hybridMultilevel"/>
    <w:tmpl w:val="D61EDE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5D4D9A"/>
    <w:multiLevelType w:val="hybridMultilevel"/>
    <w:tmpl w:val="FD30C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4C5576"/>
    <w:multiLevelType w:val="hybridMultilevel"/>
    <w:tmpl w:val="D47E9E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7649FF"/>
    <w:multiLevelType w:val="hybridMultilevel"/>
    <w:tmpl w:val="1124F690"/>
    <w:lvl w:ilvl="0" w:tplc="A2A060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B43C76"/>
    <w:multiLevelType w:val="hybridMultilevel"/>
    <w:tmpl w:val="FD30C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F46266"/>
    <w:multiLevelType w:val="hybridMultilevel"/>
    <w:tmpl w:val="546C157C"/>
    <w:lvl w:ilvl="0" w:tplc="C60C4B98">
      <w:start w:val="5"/>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927E8D"/>
    <w:multiLevelType w:val="hybridMultilevel"/>
    <w:tmpl w:val="680CF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43073B"/>
    <w:multiLevelType w:val="hybridMultilevel"/>
    <w:tmpl w:val="680CF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D43E77"/>
    <w:multiLevelType w:val="hybridMultilevel"/>
    <w:tmpl w:val="28C67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B43F3"/>
    <w:multiLevelType w:val="hybridMultilevel"/>
    <w:tmpl w:val="11BA7C1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18620A"/>
    <w:multiLevelType w:val="hybridMultilevel"/>
    <w:tmpl w:val="BD1418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FD66DB0"/>
    <w:multiLevelType w:val="multilevel"/>
    <w:tmpl w:val="72D27140"/>
    <w:lvl w:ilvl="0">
      <w:start w:val="1"/>
      <w:numFmt w:val="upperRoman"/>
      <w:lvlText w:val="%1"/>
      <w:lvlJc w:val="left"/>
      <w:pPr>
        <w:ind w:left="360" w:hanging="360"/>
      </w:pPr>
      <w:rPr>
        <w:rFonts w:hint="default"/>
      </w:rPr>
    </w:lvl>
    <w:lvl w:ilvl="1">
      <w:start w:val="1"/>
      <w:numFmt w:val="ordin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FFF01D1"/>
    <w:multiLevelType w:val="hybridMultilevel"/>
    <w:tmpl w:val="3F32F2E6"/>
    <w:lvl w:ilvl="0" w:tplc="E1C26E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312CD2"/>
    <w:multiLevelType w:val="hybridMultilevel"/>
    <w:tmpl w:val="CA5839B0"/>
    <w:lvl w:ilvl="0" w:tplc="D534DA44">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2E00A23"/>
    <w:multiLevelType w:val="hybridMultilevel"/>
    <w:tmpl w:val="3E9C4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EA47E2"/>
    <w:multiLevelType w:val="hybridMultilevel"/>
    <w:tmpl w:val="F44EDAF0"/>
    <w:lvl w:ilvl="0" w:tplc="EAEE5AB4">
      <w:start w:val="1"/>
      <w:numFmt w:val="lowerLetter"/>
      <w:lvlText w:val="%1)"/>
      <w:lvlJc w:val="left"/>
      <w:pPr>
        <w:ind w:left="1146" w:hanging="360"/>
      </w:pPr>
      <w:rPr>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BDB080B"/>
    <w:multiLevelType w:val="hybridMultilevel"/>
    <w:tmpl w:val="222A0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431476D"/>
    <w:multiLevelType w:val="hybridMultilevel"/>
    <w:tmpl w:val="9506A8C2"/>
    <w:lvl w:ilvl="0" w:tplc="D534DA44">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36"/>
  </w:num>
  <w:num w:numId="4">
    <w:abstractNumId w:val="26"/>
  </w:num>
  <w:num w:numId="5">
    <w:abstractNumId w:val="5"/>
  </w:num>
  <w:num w:numId="6">
    <w:abstractNumId w:val="24"/>
  </w:num>
  <w:num w:numId="7">
    <w:abstractNumId w:val="4"/>
  </w:num>
  <w:num w:numId="8">
    <w:abstractNumId w:val="15"/>
  </w:num>
  <w:num w:numId="9">
    <w:abstractNumId w:val="38"/>
  </w:num>
  <w:num w:numId="10">
    <w:abstractNumId w:val="20"/>
  </w:num>
  <w:num w:numId="11">
    <w:abstractNumId w:val="32"/>
  </w:num>
  <w:num w:numId="12">
    <w:abstractNumId w:val="34"/>
  </w:num>
  <w:num w:numId="13">
    <w:abstractNumId w:val="10"/>
  </w:num>
  <w:num w:numId="14">
    <w:abstractNumId w:val="2"/>
  </w:num>
  <w:num w:numId="15">
    <w:abstractNumId w:val="18"/>
  </w:num>
  <w:num w:numId="16">
    <w:abstractNumId w:val="23"/>
  </w:num>
  <w:num w:numId="17">
    <w:abstractNumId w:val="8"/>
  </w:num>
  <w:num w:numId="18">
    <w:abstractNumId w:val="33"/>
  </w:num>
  <w:num w:numId="19">
    <w:abstractNumId w:val="13"/>
  </w:num>
  <w:num w:numId="20">
    <w:abstractNumId w:val="14"/>
  </w:num>
  <w:num w:numId="21">
    <w:abstractNumId w:val="35"/>
  </w:num>
  <w:num w:numId="22">
    <w:abstractNumId w:val="29"/>
  </w:num>
  <w:num w:numId="23">
    <w:abstractNumId w:val="9"/>
  </w:num>
  <w:num w:numId="24">
    <w:abstractNumId w:val="6"/>
  </w:num>
  <w:num w:numId="25">
    <w:abstractNumId w:val="30"/>
  </w:num>
  <w:num w:numId="26">
    <w:abstractNumId w:val="16"/>
  </w:num>
  <w:num w:numId="27">
    <w:abstractNumId w:val="21"/>
  </w:num>
  <w:num w:numId="28">
    <w:abstractNumId w:val="31"/>
  </w:num>
  <w:num w:numId="29">
    <w:abstractNumId w:val="11"/>
  </w:num>
  <w:num w:numId="30">
    <w:abstractNumId w:val="37"/>
  </w:num>
  <w:num w:numId="31">
    <w:abstractNumId w:val="22"/>
  </w:num>
  <w:num w:numId="32">
    <w:abstractNumId w:val="25"/>
  </w:num>
  <w:num w:numId="33">
    <w:abstractNumId w:val="19"/>
  </w:num>
  <w:num w:numId="34">
    <w:abstractNumId w:val="7"/>
  </w:num>
  <w:num w:numId="35">
    <w:abstractNumId w:val="17"/>
  </w:num>
  <w:num w:numId="36">
    <w:abstractNumId w:val="27"/>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C33A5"/>
    <w:rsid w:val="000046E1"/>
    <w:rsid w:val="00004B91"/>
    <w:rsid w:val="00011AA3"/>
    <w:rsid w:val="00022F76"/>
    <w:rsid w:val="00023B51"/>
    <w:rsid w:val="0003077C"/>
    <w:rsid w:val="0003133F"/>
    <w:rsid w:val="0004156D"/>
    <w:rsid w:val="0005593F"/>
    <w:rsid w:val="00055EB6"/>
    <w:rsid w:val="00063BB6"/>
    <w:rsid w:val="000756F6"/>
    <w:rsid w:val="00075F0D"/>
    <w:rsid w:val="00093CDA"/>
    <w:rsid w:val="000A33E7"/>
    <w:rsid w:val="000A34BF"/>
    <w:rsid w:val="000A7814"/>
    <w:rsid w:val="000B0266"/>
    <w:rsid w:val="000C5A7E"/>
    <w:rsid w:val="000D627C"/>
    <w:rsid w:val="000E58FA"/>
    <w:rsid w:val="000F1C5E"/>
    <w:rsid w:val="0010022D"/>
    <w:rsid w:val="00105390"/>
    <w:rsid w:val="00107495"/>
    <w:rsid w:val="00107DEE"/>
    <w:rsid w:val="001127B4"/>
    <w:rsid w:val="00117C23"/>
    <w:rsid w:val="00120DBE"/>
    <w:rsid w:val="0012719C"/>
    <w:rsid w:val="0012726A"/>
    <w:rsid w:val="0012774B"/>
    <w:rsid w:val="00143082"/>
    <w:rsid w:val="00143E7C"/>
    <w:rsid w:val="00156946"/>
    <w:rsid w:val="00164DCE"/>
    <w:rsid w:val="001654EC"/>
    <w:rsid w:val="00165696"/>
    <w:rsid w:val="00165708"/>
    <w:rsid w:val="00170A2B"/>
    <w:rsid w:val="00171305"/>
    <w:rsid w:val="0017250A"/>
    <w:rsid w:val="00186040"/>
    <w:rsid w:val="00194475"/>
    <w:rsid w:val="00196530"/>
    <w:rsid w:val="001A4729"/>
    <w:rsid w:val="001B0029"/>
    <w:rsid w:val="001C1581"/>
    <w:rsid w:val="001C6E24"/>
    <w:rsid w:val="001D359E"/>
    <w:rsid w:val="001D3DAD"/>
    <w:rsid w:val="001E0D76"/>
    <w:rsid w:val="001F0EFE"/>
    <w:rsid w:val="001F1E0E"/>
    <w:rsid w:val="00206463"/>
    <w:rsid w:val="00210213"/>
    <w:rsid w:val="00222F0A"/>
    <w:rsid w:val="002277FD"/>
    <w:rsid w:val="00237FEF"/>
    <w:rsid w:val="0024192D"/>
    <w:rsid w:val="0025369C"/>
    <w:rsid w:val="00254FB1"/>
    <w:rsid w:val="002615A2"/>
    <w:rsid w:val="00264AB6"/>
    <w:rsid w:val="00270144"/>
    <w:rsid w:val="00274885"/>
    <w:rsid w:val="00280E39"/>
    <w:rsid w:val="002829F6"/>
    <w:rsid w:val="00290DA3"/>
    <w:rsid w:val="00292A05"/>
    <w:rsid w:val="00293769"/>
    <w:rsid w:val="002A5E4F"/>
    <w:rsid w:val="002A7E66"/>
    <w:rsid w:val="002B62A6"/>
    <w:rsid w:val="002B7FEF"/>
    <w:rsid w:val="002C6C75"/>
    <w:rsid w:val="002D7BCA"/>
    <w:rsid w:val="002E1158"/>
    <w:rsid w:val="002E3AA5"/>
    <w:rsid w:val="002E7B06"/>
    <w:rsid w:val="002F5BFA"/>
    <w:rsid w:val="002F75D3"/>
    <w:rsid w:val="00304CB6"/>
    <w:rsid w:val="003132F9"/>
    <w:rsid w:val="0034309A"/>
    <w:rsid w:val="00351263"/>
    <w:rsid w:val="00362621"/>
    <w:rsid w:val="0036625D"/>
    <w:rsid w:val="00371598"/>
    <w:rsid w:val="00374CB0"/>
    <w:rsid w:val="00377DDE"/>
    <w:rsid w:val="00381FCF"/>
    <w:rsid w:val="00382327"/>
    <w:rsid w:val="00392810"/>
    <w:rsid w:val="00393D95"/>
    <w:rsid w:val="003A368C"/>
    <w:rsid w:val="003B43C6"/>
    <w:rsid w:val="003B5D8A"/>
    <w:rsid w:val="003B7828"/>
    <w:rsid w:val="003C1D2C"/>
    <w:rsid w:val="003C58DA"/>
    <w:rsid w:val="003D35B4"/>
    <w:rsid w:val="003D3C0B"/>
    <w:rsid w:val="003D7264"/>
    <w:rsid w:val="003E1A8C"/>
    <w:rsid w:val="003E1DE0"/>
    <w:rsid w:val="00404C74"/>
    <w:rsid w:val="00414F14"/>
    <w:rsid w:val="00423979"/>
    <w:rsid w:val="00434545"/>
    <w:rsid w:val="00440AF9"/>
    <w:rsid w:val="00445091"/>
    <w:rsid w:val="0044649B"/>
    <w:rsid w:val="004465C9"/>
    <w:rsid w:val="00447A65"/>
    <w:rsid w:val="00470FF3"/>
    <w:rsid w:val="00473395"/>
    <w:rsid w:val="00475AA7"/>
    <w:rsid w:val="00490FF1"/>
    <w:rsid w:val="004A24D7"/>
    <w:rsid w:val="004A295A"/>
    <w:rsid w:val="004A2FD2"/>
    <w:rsid w:val="004B2B40"/>
    <w:rsid w:val="004B535C"/>
    <w:rsid w:val="004C18B7"/>
    <w:rsid w:val="004D7D4C"/>
    <w:rsid w:val="004F3BC7"/>
    <w:rsid w:val="004F4C70"/>
    <w:rsid w:val="004F79E0"/>
    <w:rsid w:val="00502F07"/>
    <w:rsid w:val="0050541E"/>
    <w:rsid w:val="00515A3A"/>
    <w:rsid w:val="00523730"/>
    <w:rsid w:val="00524A98"/>
    <w:rsid w:val="00526A91"/>
    <w:rsid w:val="0053188B"/>
    <w:rsid w:val="00531C1A"/>
    <w:rsid w:val="00536A30"/>
    <w:rsid w:val="005371AE"/>
    <w:rsid w:val="00541A88"/>
    <w:rsid w:val="00554BB4"/>
    <w:rsid w:val="00555AA9"/>
    <w:rsid w:val="005611F8"/>
    <w:rsid w:val="005651EE"/>
    <w:rsid w:val="00566D38"/>
    <w:rsid w:val="00570ED9"/>
    <w:rsid w:val="00574D8E"/>
    <w:rsid w:val="005764F5"/>
    <w:rsid w:val="00594619"/>
    <w:rsid w:val="005A77B0"/>
    <w:rsid w:val="005B137F"/>
    <w:rsid w:val="005C09D4"/>
    <w:rsid w:val="005C33A5"/>
    <w:rsid w:val="005D2AEF"/>
    <w:rsid w:val="005E107D"/>
    <w:rsid w:val="005F1624"/>
    <w:rsid w:val="005F5935"/>
    <w:rsid w:val="00614E69"/>
    <w:rsid w:val="00621CF0"/>
    <w:rsid w:val="006228A5"/>
    <w:rsid w:val="00634E12"/>
    <w:rsid w:val="00635824"/>
    <w:rsid w:val="00636BDB"/>
    <w:rsid w:val="0064091A"/>
    <w:rsid w:val="00650843"/>
    <w:rsid w:val="006574CB"/>
    <w:rsid w:val="00673037"/>
    <w:rsid w:val="00677817"/>
    <w:rsid w:val="006800FF"/>
    <w:rsid w:val="00680182"/>
    <w:rsid w:val="00687F77"/>
    <w:rsid w:val="006A6F49"/>
    <w:rsid w:val="006B633B"/>
    <w:rsid w:val="006C20AE"/>
    <w:rsid w:val="006C3494"/>
    <w:rsid w:val="006D0498"/>
    <w:rsid w:val="006D0FE9"/>
    <w:rsid w:val="006D1B03"/>
    <w:rsid w:val="006D2CED"/>
    <w:rsid w:val="00707697"/>
    <w:rsid w:val="00725247"/>
    <w:rsid w:val="00725945"/>
    <w:rsid w:val="00725D42"/>
    <w:rsid w:val="007277F9"/>
    <w:rsid w:val="00730C79"/>
    <w:rsid w:val="00734DE6"/>
    <w:rsid w:val="0074492A"/>
    <w:rsid w:val="00745124"/>
    <w:rsid w:val="00753F09"/>
    <w:rsid w:val="0075587E"/>
    <w:rsid w:val="00776515"/>
    <w:rsid w:val="00783F44"/>
    <w:rsid w:val="0079440C"/>
    <w:rsid w:val="007B5887"/>
    <w:rsid w:val="007D5138"/>
    <w:rsid w:val="007E1D50"/>
    <w:rsid w:val="007E3C66"/>
    <w:rsid w:val="007E5F20"/>
    <w:rsid w:val="007F2027"/>
    <w:rsid w:val="007F2523"/>
    <w:rsid w:val="007F6898"/>
    <w:rsid w:val="0080120C"/>
    <w:rsid w:val="00812F36"/>
    <w:rsid w:val="008143CA"/>
    <w:rsid w:val="00822DFC"/>
    <w:rsid w:val="00822F4F"/>
    <w:rsid w:val="0082536C"/>
    <w:rsid w:val="0083289B"/>
    <w:rsid w:val="0083305B"/>
    <w:rsid w:val="00841B49"/>
    <w:rsid w:val="00853A91"/>
    <w:rsid w:val="0087469E"/>
    <w:rsid w:val="008763C2"/>
    <w:rsid w:val="00885605"/>
    <w:rsid w:val="00886F9A"/>
    <w:rsid w:val="00893083"/>
    <w:rsid w:val="008B1610"/>
    <w:rsid w:val="008C0658"/>
    <w:rsid w:val="008D3F76"/>
    <w:rsid w:val="008E1DEA"/>
    <w:rsid w:val="008F7D82"/>
    <w:rsid w:val="00902744"/>
    <w:rsid w:val="00910763"/>
    <w:rsid w:val="00914C95"/>
    <w:rsid w:val="009228C8"/>
    <w:rsid w:val="00922973"/>
    <w:rsid w:val="00932AC0"/>
    <w:rsid w:val="00935894"/>
    <w:rsid w:val="00940CDC"/>
    <w:rsid w:val="00950B0E"/>
    <w:rsid w:val="009514BF"/>
    <w:rsid w:val="009530E1"/>
    <w:rsid w:val="00955A0B"/>
    <w:rsid w:val="00956ACC"/>
    <w:rsid w:val="00964186"/>
    <w:rsid w:val="009668C5"/>
    <w:rsid w:val="00970442"/>
    <w:rsid w:val="009748F8"/>
    <w:rsid w:val="009815A1"/>
    <w:rsid w:val="00985018"/>
    <w:rsid w:val="00992A63"/>
    <w:rsid w:val="009A13C7"/>
    <w:rsid w:val="009A4410"/>
    <w:rsid w:val="009D4207"/>
    <w:rsid w:val="009D5008"/>
    <w:rsid w:val="009D641C"/>
    <w:rsid w:val="009F2684"/>
    <w:rsid w:val="009F6C48"/>
    <w:rsid w:val="00A03B07"/>
    <w:rsid w:val="00A043A2"/>
    <w:rsid w:val="00A10AEF"/>
    <w:rsid w:val="00A171F4"/>
    <w:rsid w:val="00A21FFD"/>
    <w:rsid w:val="00A2681A"/>
    <w:rsid w:val="00A36175"/>
    <w:rsid w:val="00A370FE"/>
    <w:rsid w:val="00A42B08"/>
    <w:rsid w:val="00A46695"/>
    <w:rsid w:val="00A529F7"/>
    <w:rsid w:val="00A55C07"/>
    <w:rsid w:val="00A64A77"/>
    <w:rsid w:val="00A70612"/>
    <w:rsid w:val="00A70B69"/>
    <w:rsid w:val="00A73C0C"/>
    <w:rsid w:val="00A815B6"/>
    <w:rsid w:val="00A82FA0"/>
    <w:rsid w:val="00A8502F"/>
    <w:rsid w:val="00A87304"/>
    <w:rsid w:val="00A90D66"/>
    <w:rsid w:val="00AB3C0E"/>
    <w:rsid w:val="00AC0010"/>
    <w:rsid w:val="00AC5F71"/>
    <w:rsid w:val="00AE1639"/>
    <w:rsid w:val="00AE277D"/>
    <w:rsid w:val="00AE2898"/>
    <w:rsid w:val="00AF12D3"/>
    <w:rsid w:val="00AF38FF"/>
    <w:rsid w:val="00B0161D"/>
    <w:rsid w:val="00B04536"/>
    <w:rsid w:val="00B07198"/>
    <w:rsid w:val="00B113A3"/>
    <w:rsid w:val="00B12CDD"/>
    <w:rsid w:val="00B13809"/>
    <w:rsid w:val="00B20827"/>
    <w:rsid w:val="00B20E8A"/>
    <w:rsid w:val="00B21840"/>
    <w:rsid w:val="00B21A19"/>
    <w:rsid w:val="00B234FC"/>
    <w:rsid w:val="00B24DDB"/>
    <w:rsid w:val="00B32F00"/>
    <w:rsid w:val="00B330FD"/>
    <w:rsid w:val="00B338B1"/>
    <w:rsid w:val="00B3454F"/>
    <w:rsid w:val="00B41219"/>
    <w:rsid w:val="00B41DCB"/>
    <w:rsid w:val="00B53000"/>
    <w:rsid w:val="00B5740B"/>
    <w:rsid w:val="00B63A12"/>
    <w:rsid w:val="00B6744A"/>
    <w:rsid w:val="00B76AF3"/>
    <w:rsid w:val="00B81907"/>
    <w:rsid w:val="00B820A8"/>
    <w:rsid w:val="00B90645"/>
    <w:rsid w:val="00B92C07"/>
    <w:rsid w:val="00BA6140"/>
    <w:rsid w:val="00BC6C48"/>
    <w:rsid w:val="00BD5F39"/>
    <w:rsid w:val="00BE553B"/>
    <w:rsid w:val="00BF271D"/>
    <w:rsid w:val="00BF459C"/>
    <w:rsid w:val="00C10CE9"/>
    <w:rsid w:val="00C11842"/>
    <w:rsid w:val="00C144A8"/>
    <w:rsid w:val="00C22477"/>
    <w:rsid w:val="00C26C0B"/>
    <w:rsid w:val="00C3375D"/>
    <w:rsid w:val="00C372A5"/>
    <w:rsid w:val="00C401E5"/>
    <w:rsid w:val="00C47601"/>
    <w:rsid w:val="00C47F5F"/>
    <w:rsid w:val="00C505BB"/>
    <w:rsid w:val="00C50DCE"/>
    <w:rsid w:val="00C51325"/>
    <w:rsid w:val="00C55540"/>
    <w:rsid w:val="00C5594E"/>
    <w:rsid w:val="00C562AF"/>
    <w:rsid w:val="00C67DAA"/>
    <w:rsid w:val="00C67EB9"/>
    <w:rsid w:val="00C74AC8"/>
    <w:rsid w:val="00C839E8"/>
    <w:rsid w:val="00C969B7"/>
    <w:rsid w:val="00C97E05"/>
    <w:rsid w:val="00CA09E3"/>
    <w:rsid w:val="00CC08C0"/>
    <w:rsid w:val="00CC1978"/>
    <w:rsid w:val="00CD7108"/>
    <w:rsid w:val="00CE0B82"/>
    <w:rsid w:val="00CE2D98"/>
    <w:rsid w:val="00CF7D36"/>
    <w:rsid w:val="00D05CC1"/>
    <w:rsid w:val="00D0683B"/>
    <w:rsid w:val="00D27290"/>
    <w:rsid w:val="00D33F08"/>
    <w:rsid w:val="00D34092"/>
    <w:rsid w:val="00D34ED2"/>
    <w:rsid w:val="00D426DB"/>
    <w:rsid w:val="00D43E8D"/>
    <w:rsid w:val="00D501E1"/>
    <w:rsid w:val="00D52BCD"/>
    <w:rsid w:val="00D56DF2"/>
    <w:rsid w:val="00D6103F"/>
    <w:rsid w:val="00D63383"/>
    <w:rsid w:val="00D63EF5"/>
    <w:rsid w:val="00D72BB7"/>
    <w:rsid w:val="00D8026A"/>
    <w:rsid w:val="00D81103"/>
    <w:rsid w:val="00D81ABE"/>
    <w:rsid w:val="00D94739"/>
    <w:rsid w:val="00DA31A6"/>
    <w:rsid w:val="00DA3FA7"/>
    <w:rsid w:val="00DB3D1D"/>
    <w:rsid w:val="00DD229E"/>
    <w:rsid w:val="00DF282C"/>
    <w:rsid w:val="00DF5CF8"/>
    <w:rsid w:val="00E031C7"/>
    <w:rsid w:val="00E109FD"/>
    <w:rsid w:val="00E10BA5"/>
    <w:rsid w:val="00E23505"/>
    <w:rsid w:val="00E25C97"/>
    <w:rsid w:val="00E37AF8"/>
    <w:rsid w:val="00E42639"/>
    <w:rsid w:val="00E54732"/>
    <w:rsid w:val="00E65A94"/>
    <w:rsid w:val="00E75134"/>
    <w:rsid w:val="00E807CE"/>
    <w:rsid w:val="00E86510"/>
    <w:rsid w:val="00E8686B"/>
    <w:rsid w:val="00E932D4"/>
    <w:rsid w:val="00E968CC"/>
    <w:rsid w:val="00EA3DF0"/>
    <w:rsid w:val="00EB62C4"/>
    <w:rsid w:val="00EC62C7"/>
    <w:rsid w:val="00EE2169"/>
    <w:rsid w:val="00EE312E"/>
    <w:rsid w:val="00EE7EF1"/>
    <w:rsid w:val="00F027F3"/>
    <w:rsid w:val="00F157D0"/>
    <w:rsid w:val="00F17406"/>
    <w:rsid w:val="00F22563"/>
    <w:rsid w:val="00F24886"/>
    <w:rsid w:val="00F46613"/>
    <w:rsid w:val="00F50742"/>
    <w:rsid w:val="00F50CE8"/>
    <w:rsid w:val="00F5355B"/>
    <w:rsid w:val="00F5410D"/>
    <w:rsid w:val="00F54250"/>
    <w:rsid w:val="00F54D6E"/>
    <w:rsid w:val="00F6093C"/>
    <w:rsid w:val="00F714E8"/>
    <w:rsid w:val="00F715FE"/>
    <w:rsid w:val="00F718E2"/>
    <w:rsid w:val="00F75255"/>
    <w:rsid w:val="00F76641"/>
    <w:rsid w:val="00F805E4"/>
    <w:rsid w:val="00F80730"/>
    <w:rsid w:val="00F82AE0"/>
    <w:rsid w:val="00F911DA"/>
    <w:rsid w:val="00FA1773"/>
    <w:rsid w:val="00FA7C80"/>
    <w:rsid w:val="00FC49CE"/>
    <w:rsid w:val="00FC6F84"/>
    <w:rsid w:val="00FD0C8D"/>
    <w:rsid w:val="00FD60FE"/>
    <w:rsid w:val="00FD610D"/>
    <w:rsid w:val="00FD7FE2"/>
    <w:rsid w:val="00FE27B0"/>
    <w:rsid w:val="00FE4064"/>
    <w:rsid w:val="00FE5761"/>
    <w:rsid w:val="00FF036A"/>
    <w:rsid w:val="00FF0697"/>
    <w:rsid w:val="00FF09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87E83"/>
  <w15:docId w15:val="{EAF8FAA4-912E-4BF0-989D-DA777309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820A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80E39"/>
    <w:pPr>
      <w:autoSpaceDE w:val="0"/>
      <w:autoSpaceDN w:val="0"/>
      <w:adjustRightInd w:val="0"/>
    </w:pPr>
    <w:rPr>
      <w:color w:val="000000"/>
      <w:sz w:val="24"/>
      <w:szCs w:val="24"/>
    </w:rPr>
  </w:style>
  <w:style w:type="paragraph" w:styleId="Akapitzlist">
    <w:name w:val="List Paragraph"/>
    <w:basedOn w:val="Normalny"/>
    <w:uiPriority w:val="34"/>
    <w:qFormat/>
    <w:rsid w:val="0075587E"/>
    <w:pPr>
      <w:spacing w:after="200" w:line="276" w:lineRule="auto"/>
      <w:ind w:left="720"/>
      <w:contextualSpacing/>
    </w:pPr>
    <w:rPr>
      <w:rFonts w:ascii="Calibri" w:eastAsia="Calibri" w:hAnsi="Calibri"/>
      <w:sz w:val="22"/>
      <w:szCs w:val="22"/>
      <w:lang w:eastAsia="en-US"/>
    </w:rPr>
  </w:style>
  <w:style w:type="table" w:styleId="Siatkatabeli">
    <w:name w:val="Table Grid"/>
    <w:basedOn w:val="Standardowy"/>
    <w:uiPriority w:val="59"/>
    <w:rsid w:val="00526A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nhideWhenUsed/>
    <w:qFormat/>
    <w:rsid w:val="0083305B"/>
    <w:rPr>
      <w:b/>
      <w:bCs/>
      <w:sz w:val="20"/>
      <w:szCs w:val="20"/>
    </w:rPr>
  </w:style>
  <w:style w:type="character" w:styleId="Hipercze">
    <w:name w:val="Hyperlink"/>
    <w:rsid w:val="00502F07"/>
    <w:rPr>
      <w:color w:val="0000FF"/>
      <w:u w:val="single"/>
    </w:rPr>
  </w:style>
  <w:style w:type="paragraph" w:styleId="Nagwek">
    <w:name w:val="header"/>
    <w:basedOn w:val="Normalny"/>
    <w:link w:val="NagwekZnak"/>
    <w:rsid w:val="009530E1"/>
    <w:pPr>
      <w:tabs>
        <w:tab w:val="center" w:pos="4536"/>
        <w:tab w:val="right" w:pos="9072"/>
      </w:tabs>
    </w:pPr>
  </w:style>
  <w:style w:type="character" w:customStyle="1" w:styleId="NagwekZnak">
    <w:name w:val="Nagłówek Znak"/>
    <w:link w:val="Nagwek"/>
    <w:rsid w:val="009530E1"/>
    <w:rPr>
      <w:sz w:val="24"/>
      <w:szCs w:val="24"/>
    </w:rPr>
  </w:style>
  <w:style w:type="paragraph" w:styleId="Stopka">
    <w:name w:val="footer"/>
    <w:basedOn w:val="Normalny"/>
    <w:link w:val="StopkaZnak"/>
    <w:uiPriority w:val="99"/>
    <w:rsid w:val="009530E1"/>
    <w:pPr>
      <w:tabs>
        <w:tab w:val="center" w:pos="4536"/>
        <w:tab w:val="right" w:pos="9072"/>
      </w:tabs>
    </w:pPr>
  </w:style>
  <w:style w:type="character" w:customStyle="1" w:styleId="StopkaZnak">
    <w:name w:val="Stopka Znak"/>
    <w:link w:val="Stopka"/>
    <w:uiPriority w:val="99"/>
    <w:rsid w:val="009530E1"/>
    <w:rPr>
      <w:sz w:val="24"/>
      <w:szCs w:val="24"/>
    </w:rPr>
  </w:style>
  <w:style w:type="paragraph" w:styleId="Tekstdymka">
    <w:name w:val="Balloon Text"/>
    <w:basedOn w:val="Normalny"/>
    <w:link w:val="TekstdymkaZnak"/>
    <w:rsid w:val="00C67DAA"/>
    <w:rPr>
      <w:rFonts w:ascii="Tahoma" w:hAnsi="Tahoma" w:cs="Tahoma"/>
      <w:sz w:val="16"/>
      <w:szCs w:val="16"/>
    </w:rPr>
  </w:style>
  <w:style w:type="character" w:customStyle="1" w:styleId="TekstdymkaZnak">
    <w:name w:val="Tekst dymka Znak"/>
    <w:basedOn w:val="Domylnaczcionkaakapitu"/>
    <w:link w:val="Tekstdymka"/>
    <w:rsid w:val="00C67D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834727">
      <w:bodyDiv w:val="1"/>
      <w:marLeft w:val="0"/>
      <w:marRight w:val="0"/>
      <w:marTop w:val="0"/>
      <w:marBottom w:val="0"/>
      <w:divBdr>
        <w:top w:val="none" w:sz="0" w:space="0" w:color="auto"/>
        <w:left w:val="none" w:sz="0" w:space="0" w:color="auto"/>
        <w:bottom w:val="none" w:sz="0" w:space="0" w:color="auto"/>
        <w:right w:val="none" w:sz="0" w:space="0" w:color="auto"/>
      </w:divBdr>
      <w:divsChild>
        <w:div w:id="397096733">
          <w:marLeft w:val="0"/>
          <w:marRight w:val="0"/>
          <w:marTop w:val="0"/>
          <w:marBottom w:val="0"/>
          <w:divBdr>
            <w:top w:val="none" w:sz="0" w:space="0" w:color="auto"/>
            <w:left w:val="none" w:sz="0" w:space="0" w:color="auto"/>
            <w:bottom w:val="none" w:sz="0" w:space="0" w:color="auto"/>
            <w:right w:val="none" w:sz="0" w:space="0" w:color="auto"/>
          </w:divBdr>
        </w:div>
        <w:div w:id="1625647710">
          <w:marLeft w:val="0"/>
          <w:marRight w:val="0"/>
          <w:marTop w:val="0"/>
          <w:marBottom w:val="0"/>
          <w:divBdr>
            <w:top w:val="none" w:sz="0" w:space="0" w:color="auto"/>
            <w:left w:val="none" w:sz="0" w:space="0" w:color="auto"/>
            <w:bottom w:val="none" w:sz="0" w:space="0" w:color="auto"/>
            <w:right w:val="none" w:sz="0" w:space="0" w:color="auto"/>
          </w:divBdr>
        </w:div>
        <w:div w:id="776021270">
          <w:marLeft w:val="0"/>
          <w:marRight w:val="0"/>
          <w:marTop w:val="0"/>
          <w:marBottom w:val="0"/>
          <w:divBdr>
            <w:top w:val="none" w:sz="0" w:space="0" w:color="auto"/>
            <w:left w:val="none" w:sz="0" w:space="0" w:color="auto"/>
            <w:bottom w:val="none" w:sz="0" w:space="0" w:color="auto"/>
            <w:right w:val="none" w:sz="0" w:space="0" w:color="auto"/>
          </w:divBdr>
        </w:div>
        <w:div w:id="1132283979">
          <w:marLeft w:val="0"/>
          <w:marRight w:val="0"/>
          <w:marTop w:val="0"/>
          <w:marBottom w:val="0"/>
          <w:divBdr>
            <w:top w:val="none" w:sz="0" w:space="0" w:color="auto"/>
            <w:left w:val="none" w:sz="0" w:space="0" w:color="auto"/>
            <w:bottom w:val="none" w:sz="0" w:space="0" w:color="auto"/>
            <w:right w:val="none" w:sz="0" w:space="0" w:color="auto"/>
          </w:divBdr>
        </w:div>
        <w:div w:id="64842696">
          <w:marLeft w:val="0"/>
          <w:marRight w:val="0"/>
          <w:marTop w:val="0"/>
          <w:marBottom w:val="0"/>
          <w:divBdr>
            <w:top w:val="none" w:sz="0" w:space="0" w:color="auto"/>
            <w:left w:val="none" w:sz="0" w:space="0" w:color="auto"/>
            <w:bottom w:val="none" w:sz="0" w:space="0" w:color="auto"/>
            <w:right w:val="none" w:sz="0" w:space="0" w:color="auto"/>
          </w:divBdr>
        </w:div>
        <w:div w:id="288166121">
          <w:marLeft w:val="0"/>
          <w:marRight w:val="0"/>
          <w:marTop w:val="0"/>
          <w:marBottom w:val="0"/>
          <w:divBdr>
            <w:top w:val="none" w:sz="0" w:space="0" w:color="auto"/>
            <w:left w:val="none" w:sz="0" w:space="0" w:color="auto"/>
            <w:bottom w:val="none" w:sz="0" w:space="0" w:color="auto"/>
            <w:right w:val="none" w:sz="0" w:space="0" w:color="auto"/>
          </w:divBdr>
        </w:div>
        <w:div w:id="1036656117">
          <w:marLeft w:val="0"/>
          <w:marRight w:val="0"/>
          <w:marTop w:val="0"/>
          <w:marBottom w:val="0"/>
          <w:divBdr>
            <w:top w:val="none" w:sz="0" w:space="0" w:color="auto"/>
            <w:left w:val="none" w:sz="0" w:space="0" w:color="auto"/>
            <w:bottom w:val="none" w:sz="0" w:space="0" w:color="auto"/>
            <w:right w:val="none" w:sz="0" w:space="0" w:color="auto"/>
          </w:divBdr>
        </w:div>
        <w:div w:id="1466973666">
          <w:marLeft w:val="0"/>
          <w:marRight w:val="0"/>
          <w:marTop w:val="0"/>
          <w:marBottom w:val="0"/>
          <w:divBdr>
            <w:top w:val="none" w:sz="0" w:space="0" w:color="auto"/>
            <w:left w:val="none" w:sz="0" w:space="0" w:color="auto"/>
            <w:bottom w:val="none" w:sz="0" w:space="0" w:color="auto"/>
            <w:right w:val="none" w:sz="0" w:space="0" w:color="auto"/>
          </w:divBdr>
        </w:div>
        <w:div w:id="520557173">
          <w:marLeft w:val="0"/>
          <w:marRight w:val="0"/>
          <w:marTop w:val="0"/>
          <w:marBottom w:val="0"/>
          <w:divBdr>
            <w:top w:val="none" w:sz="0" w:space="0" w:color="auto"/>
            <w:left w:val="none" w:sz="0" w:space="0" w:color="auto"/>
            <w:bottom w:val="none" w:sz="0" w:space="0" w:color="auto"/>
            <w:right w:val="none" w:sz="0" w:space="0" w:color="auto"/>
          </w:divBdr>
        </w:div>
        <w:div w:id="275604181">
          <w:marLeft w:val="0"/>
          <w:marRight w:val="0"/>
          <w:marTop w:val="0"/>
          <w:marBottom w:val="0"/>
          <w:divBdr>
            <w:top w:val="none" w:sz="0" w:space="0" w:color="auto"/>
            <w:left w:val="none" w:sz="0" w:space="0" w:color="auto"/>
            <w:bottom w:val="none" w:sz="0" w:space="0" w:color="auto"/>
            <w:right w:val="none" w:sz="0" w:space="0" w:color="auto"/>
          </w:divBdr>
        </w:div>
      </w:divsChild>
    </w:div>
    <w:div w:id="721179560">
      <w:bodyDiv w:val="1"/>
      <w:marLeft w:val="0"/>
      <w:marRight w:val="0"/>
      <w:marTop w:val="0"/>
      <w:marBottom w:val="0"/>
      <w:divBdr>
        <w:top w:val="none" w:sz="0" w:space="0" w:color="auto"/>
        <w:left w:val="none" w:sz="0" w:space="0" w:color="auto"/>
        <w:bottom w:val="none" w:sz="0" w:space="0" w:color="auto"/>
        <w:right w:val="none" w:sz="0" w:space="0" w:color="auto"/>
      </w:divBdr>
      <w:divsChild>
        <w:div w:id="282689109">
          <w:marLeft w:val="0"/>
          <w:marRight w:val="0"/>
          <w:marTop w:val="0"/>
          <w:marBottom w:val="0"/>
          <w:divBdr>
            <w:top w:val="none" w:sz="0" w:space="0" w:color="auto"/>
            <w:left w:val="none" w:sz="0" w:space="0" w:color="auto"/>
            <w:bottom w:val="none" w:sz="0" w:space="0" w:color="auto"/>
            <w:right w:val="none" w:sz="0" w:space="0" w:color="auto"/>
          </w:divBdr>
        </w:div>
        <w:div w:id="378625139">
          <w:marLeft w:val="0"/>
          <w:marRight w:val="0"/>
          <w:marTop w:val="0"/>
          <w:marBottom w:val="0"/>
          <w:divBdr>
            <w:top w:val="none" w:sz="0" w:space="0" w:color="auto"/>
            <w:left w:val="none" w:sz="0" w:space="0" w:color="auto"/>
            <w:bottom w:val="none" w:sz="0" w:space="0" w:color="auto"/>
            <w:right w:val="none" w:sz="0" w:space="0" w:color="auto"/>
          </w:divBdr>
        </w:div>
        <w:div w:id="765493104">
          <w:marLeft w:val="0"/>
          <w:marRight w:val="0"/>
          <w:marTop w:val="0"/>
          <w:marBottom w:val="0"/>
          <w:divBdr>
            <w:top w:val="none" w:sz="0" w:space="0" w:color="auto"/>
            <w:left w:val="none" w:sz="0" w:space="0" w:color="auto"/>
            <w:bottom w:val="none" w:sz="0" w:space="0" w:color="auto"/>
            <w:right w:val="none" w:sz="0" w:space="0" w:color="auto"/>
          </w:divBdr>
        </w:div>
        <w:div w:id="923732090">
          <w:marLeft w:val="0"/>
          <w:marRight w:val="0"/>
          <w:marTop w:val="0"/>
          <w:marBottom w:val="0"/>
          <w:divBdr>
            <w:top w:val="none" w:sz="0" w:space="0" w:color="auto"/>
            <w:left w:val="none" w:sz="0" w:space="0" w:color="auto"/>
            <w:bottom w:val="none" w:sz="0" w:space="0" w:color="auto"/>
            <w:right w:val="none" w:sz="0" w:space="0" w:color="auto"/>
          </w:divBdr>
        </w:div>
        <w:div w:id="1515611721">
          <w:marLeft w:val="0"/>
          <w:marRight w:val="0"/>
          <w:marTop w:val="0"/>
          <w:marBottom w:val="0"/>
          <w:divBdr>
            <w:top w:val="none" w:sz="0" w:space="0" w:color="auto"/>
            <w:left w:val="none" w:sz="0" w:space="0" w:color="auto"/>
            <w:bottom w:val="none" w:sz="0" w:space="0" w:color="auto"/>
            <w:right w:val="none" w:sz="0" w:space="0" w:color="auto"/>
          </w:divBdr>
        </w:div>
      </w:divsChild>
    </w:div>
    <w:div w:id="960840569">
      <w:bodyDiv w:val="1"/>
      <w:marLeft w:val="0"/>
      <w:marRight w:val="0"/>
      <w:marTop w:val="0"/>
      <w:marBottom w:val="0"/>
      <w:divBdr>
        <w:top w:val="none" w:sz="0" w:space="0" w:color="auto"/>
        <w:left w:val="none" w:sz="0" w:space="0" w:color="auto"/>
        <w:bottom w:val="none" w:sz="0" w:space="0" w:color="auto"/>
        <w:right w:val="none" w:sz="0" w:space="0" w:color="auto"/>
      </w:divBdr>
    </w:div>
    <w:div w:id="2011515854">
      <w:bodyDiv w:val="1"/>
      <w:marLeft w:val="0"/>
      <w:marRight w:val="0"/>
      <w:marTop w:val="0"/>
      <w:marBottom w:val="0"/>
      <w:divBdr>
        <w:top w:val="none" w:sz="0" w:space="0" w:color="auto"/>
        <w:left w:val="none" w:sz="0" w:space="0" w:color="auto"/>
        <w:bottom w:val="none" w:sz="0" w:space="0" w:color="auto"/>
        <w:right w:val="none" w:sz="0" w:space="0" w:color="auto"/>
      </w:divBdr>
      <w:divsChild>
        <w:div w:id="217206679">
          <w:marLeft w:val="0"/>
          <w:marRight w:val="0"/>
          <w:marTop w:val="0"/>
          <w:marBottom w:val="0"/>
          <w:divBdr>
            <w:top w:val="none" w:sz="0" w:space="0" w:color="auto"/>
            <w:left w:val="none" w:sz="0" w:space="0" w:color="auto"/>
            <w:bottom w:val="none" w:sz="0" w:space="0" w:color="auto"/>
            <w:right w:val="none" w:sz="0" w:space="0" w:color="auto"/>
          </w:divBdr>
          <w:divsChild>
            <w:div w:id="186216620">
              <w:marLeft w:val="0"/>
              <w:marRight w:val="0"/>
              <w:marTop w:val="0"/>
              <w:marBottom w:val="0"/>
              <w:divBdr>
                <w:top w:val="none" w:sz="0" w:space="0" w:color="auto"/>
                <w:left w:val="none" w:sz="0" w:space="0" w:color="auto"/>
                <w:bottom w:val="none" w:sz="0" w:space="0" w:color="auto"/>
                <w:right w:val="none" w:sz="0" w:space="0" w:color="auto"/>
              </w:divBdr>
            </w:div>
            <w:div w:id="204829107">
              <w:marLeft w:val="0"/>
              <w:marRight w:val="0"/>
              <w:marTop w:val="0"/>
              <w:marBottom w:val="0"/>
              <w:divBdr>
                <w:top w:val="none" w:sz="0" w:space="0" w:color="auto"/>
                <w:left w:val="none" w:sz="0" w:space="0" w:color="auto"/>
                <w:bottom w:val="none" w:sz="0" w:space="0" w:color="auto"/>
                <w:right w:val="none" w:sz="0" w:space="0" w:color="auto"/>
              </w:divBdr>
            </w:div>
            <w:div w:id="254939756">
              <w:marLeft w:val="0"/>
              <w:marRight w:val="0"/>
              <w:marTop w:val="0"/>
              <w:marBottom w:val="0"/>
              <w:divBdr>
                <w:top w:val="none" w:sz="0" w:space="0" w:color="auto"/>
                <w:left w:val="none" w:sz="0" w:space="0" w:color="auto"/>
                <w:bottom w:val="none" w:sz="0" w:space="0" w:color="auto"/>
                <w:right w:val="none" w:sz="0" w:space="0" w:color="auto"/>
              </w:divBdr>
            </w:div>
            <w:div w:id="293296151">
              <w:marLeft w:val="0"/>
              <w:marRight w:val="0"/>
              <w:marTop w:val="0"/>
              <w:marBottom w:val="0"/>
              <w:divBdr>
                <w:top w:val="none" w:sz="0" w:space="0" w:color="auto"/>
                <w:left w:val="none" w:sz="0" w:space="0" w:color="auto"/>
                <w:bottom w:val="none" w:sz="0" w:space="0" w:color="auto"/>
                <w:right w:val="none" w:sz="0" w:space="0" w:color="auto"/>
              </w:divBdr>
            </w:div>
            <w:div w:id="308637796">
              <w:marLeft w:val="0"/>
              <w:marRight w:val="0"/>
              <w:marTop w:val="0"/>
              <w:marBottom w:val="0"/>
              <w:divBdr>
                <w:top w:val="none" w:sz="0" w:space="0" w:color="auto"/>
                <w:left w:val="none" w:sz="0" w:space="0" w:color="auto"/>
                <w:bottom w:val="none" w:sz="0" w:space="0" w:color="auto"/>
                <w:right w:val="none" w:sz="0" w:space="0" w:color="auto"/>
              </w:divBdr>
            </w:div>
            <w:div w:id="309093067">
              <w:marLeft w:val="0"/>
              <w:marRight w:val="0"/>
              <w:marTop w:val="0"/>
              <w:marBottom w:val="0"/>
              <w:divBdr>
                <w:top w:val="none" w:sz="0" w:space="0" w:color="auto"/>
                <w:left w:val="none" w:sz="0" w:space="0" w:color="auto"/>
                <w:bottom w:val="none" w:sz="0" w:space="0" w:color="auto"/>
                <w:right w:val="none" w:sz="0" w:space="0" w:color="auto"/>
              </w:divBdr>
            </w:div>
            <w:div w:id="422646578">
              <w:marLeft w:val="0"/>
              <w:marRight w:val="0"/>
              <w:marTop w:val="0"/>
              <w:marBottom w:val="0"/>
              <w:divBdr>
                <w:top w:val="none" w:sz="0" w:space="0" w:color="auto"/>
                <w:left w:val="none" w:sz="0" w:space="0" w:color="auto"/>
                <w:bottom w:val="none" w:sz="0" w:space="0" w:color="auto"/>
                <w:right w:val="none" w:sz="0" w:space="0" w:color="auto"/>
              </w:divBdr>
            </w:div>
            <w:div w:id="446853692">
              <w:marLeft w:val="0"/>
              <w:marRight w:val="0"/>
              <w:marTop w:val="0"/>
              <w:marBottom w:val="0"/>
              <w:divBdr>
                <w:top w:val="none" w:sz="0" w:space="0" w:color="auto"/>
                <w:left w:val="none" w:sz="0" w:space="0" w:color="auto"/>
                <w:bottom w:val="none" w:sz="0" w:space="0" w:color="auto"/>
                <w:right w:val="none" w:sz="0" w:space="0" w:color="auto"/>
              </w:divBdr>
            </w:div>
            <w:div w:id="483619959">
              <w:marLeft w:val="0"/>
              <w:marRight w:val="0"/>
              <w:marTop w:val="0"/>
              <w:marBottom w:val="0"/>
              <w:divBdr>
                <w:top w:val="none" w:sz="0" w:space="0" w:color="auto"/>
                <w:left w:val="none" w:sz="0" w:space="0" w:color="auto"/>
                <w:bottom w:val="none" w:sz="0" w:space="0" w:color="auto"/>
                <w:right w:val="none" w:sz="0" w:space="0" w:color="auto"/>
              </w:divBdr>
            </w:div>
            <w:div w:id="589437553">
              <w:marLeft w:val="0"/>
              <w:marRight w:val="0"/>
              <w:marTop w:val="0"/>
              <w:marBottom w:val="0"/>
              <w:divBdr>
                <w:top w:val="none" w:sz="0" w:space="0" w:color="auto"/>
                <w:left w:val="none" w:sz="0" w:space="0" w:color="auto"/>
                <w:bottom w:val="none" w:sz="0" w:space="0" w:color="auto"/>
                <w:right w:val="none" w:sz="0" w:space="0" w:color="auto"/>
              </w:divBdr>
            </w:div>
            <w:div w:id="611279976">
              <w:marLeft w:val="0"/>
              <w:marRight w:val="0"/>
              <w:marTop w:val="0"/>
              <w:marBottom w:val="0"/>
              <w:divBdr>
                <w:top w:val="none" w:sz="0" w:space="0" w:color="auto"/>
                <w:left w:val="none" w:sz="0" w:space="0" w:color="auto"/>
                <w:bottom w:val="none" w:sz="0" w:space="0" w:color="auto"/>
                <w:right w:val="none" w:sz="0" w:space="0" w:color="auto"/>
              </w:divBdr>
            </w:div>
            <w:div w:id="712121685">
              <w:marLeft w:val="0"/>
              <w:marRight w:val="0"/>
              <w:marTop w:val="0"/>
              <w:marBottom w:val="0"/>
              <w:divBdr>
                <w:top w:val="none" w:sz="0" w:space="0" w:color="auto"/>
                <w:left w:val="none" w:sz="0" w:space="0" w:color="auto"/>
                <w:bottom w:val="none" w:sz="0" w:space="0" w:color="auto"/>
                <w:right w:val="none" w:sz="0" w:space="0" w:color="auto"/>
              </w:divBdr>
            </w:div>
            <w:div w:id="713233750">
              <w:marLeft w:val="0"/>
              <w:marRight w:val="0"/>
              <w:marTop w:val="0"/>
              <w:marBottom w:val="0"/>
              <w:divBdr>
                <w:top w:val="none" w:sz="0" w:space="0" w:color="auto"/>
                <w:left w:val="none" w:sz="0" w:space="0" w:color="auto"/>
                <w:bottom w:val="none" w:sz="0" w:space="0" w:color="auto"/>
                <w:right w:val="none" w:sz="0" w:space="0" w:color="auto"/>
              </w:divBdr>
            </w:div>
            <w:div w:id="721293722">
              <w:marLeft w:val="0"/>
              <w:marRight w:val="0"/>
              <w:marTop w:val="0"/>
              <w:marBottom w:val="0"/>
              <w:divBdr>
                <w:top w:val="none" w:sz="0" w:space="0" w:color="auto"/>
                <w:left w:val="none" w:sz="0" w:space="0" w:color="auto"/>
                <w:bottom w:val="none" w:sz="0" w:space="0" w:color="auto"/>
                <w:right w:val="none" w:sz="0" w:space="0" w:color="auto"/>
              </w:divBdr>
            </w:div>
            <w:div w:id="752972245">
              <w:marLeft w:val="0"/>
              <w:marRight w:val="0"/>
              <w:marTop w:val="0"/>
              <w:marBottom w:val="0"/>
              <w:divBdr>
                <w:top w:val="none" w:sz="0" w:space="0" w:color="auto"/>
                <w:left w:val="none" w:sz="0" w:space="0" w:color="auto"/>
                <w:bottom w:val="none" w:sz="0" w:space="0" w:color="auto"/>
                <w:right w:val="none" w:sz="0" w:space="0" w:color="auto"/>
              </w:divBdr>
            </w:div>
            <w:div w:id="766848262">
              <w:marLeft w:val="0"/>
              <w:marRight w:val="0"/>
              <w:marTop w:val="0"/>
              <w:marBottom w:val="0"/>
              <w:divBdr>
                <w:top w:val="none" w:sz="0" w:space="0" w:color="auto"/>
                <w:left w:val="none" w:sz="0" w:space="0" w:color="auto"/>
                <w:bottom w:val="none" w:sz="0" w:space="0" w:color="auto"/>
                <w:right w:val="none" w:sz="0" w:space="0" w:color="auto"/>
              </w:divBdr>
            </w:div>
            <w:div w:id="996618462">
              <w:marLeft w:val="0"/>
              <w:marRight w:val="0"/>
              <w:marTop w:val="0"/>
              <w:marBottom w:val="0"/>
              <w:divBdr>
                <w:top w:val="none" w:sz="0" w:space="0" w:color="auto"/>
                <w:left w:val="none" w:sz="0" w:space="0" w:color="auto"/>
                <w:bottom w:val="none" w:sz="0" w:space="0" w:color="auto"/>
                <w:right w:val="none" w:sz="0" w:space="0" w:color="auto"/>
              </w:divBdr>
            </w:div>
            <w:div w:id="1088883881">
              <w:marLeft w:val="0"/>
              <w:marRight w:val="0"/>
              <w:marTop w:val="0"/>
              <w:marBottom w:val="0"/>
              <w:divBdr>
                <w:top w:val="none" w:sz="0" w:space="0" w:color="auto"/>
                <w:left w:val="none" w:sz="0" w:space="0" w:color="auto"/>
                <w:bottom w:val="none" w:sz="0" w:space="0" w:color="auto"/>
                <w:right w:val="none" w:sz="0" w:space="0" w:color="auto"/>
              </w:divBdr>
            </w:div>
            <w:div w:id="1102729622">
              <w:marLeft w:val="0"/>
              <w:marRight w:val="0"/>
              <w:marTop w:val="0"/>
              <w:marBottom w:val="0"/>
              <w:divBdr>
                <w:top w:val="none" w:sz="0" w:space="0" w:color="auto"/>
                <w:left w:val="none" w:sz="0" w:space="0" w:color="auto"/>
                <w:bottom w:val="none" w:sz="0" w:space="0" w:color="auto"/>
                <w:right w:val="none" w:sz="0" w:space="0" w:color="auto"/>
              </w:divBdr>
            </w:div>
            <w:div w:id="1155950586">
              <w:marLeft w:val="0"/>
              <w:marRight w:val="0"/>
              <w:marTop w:val="0"/>
              <w:marBottom w:val="0"/>
              <w:divBdr>
                <w:top w:val="none" w:sz="0" w:space="0" w:color="auto"/>
                <w:left w:val="none" w:sz="0" w:space="0" w:color="auto"/>
                <w:bottom w:val="none" w:sz="0" w:space="0" w:color="auto"/>
                <w:right w:val="none" w:sz="0" w:space="0" w:color="auto"/>
              </w:divBdr>
            </w:div>
            <w:div w:id="1211923255">
              <w:marLeft w:val="0"/>
              <w:marRight w:val="0"/>
              <w:marTop w:val="0"/>
              <w:marBottom w:val="0"/>
              <w:divBdr>
                <w:top w:val="none" w:sz="0" w:space="0" w:color="auto"/>
                <w:left w:val="none" w:sz="0" w:space="0" w:color="auto"/>
                <w:bottom w:val="none" w:sz="0" w:space="0" w:color="auto"/>
                <w:right w:val="none" w:sz="0" w:space="0" w:color="auto"/>
              </w:divBdr>
            </w:div>
            <w:div w:id="1251082427">
              <w:marLeft w:val="0"/>
              <w:marRight w:val="0"/>
              <w:marTop w:val="0"/>
              <w:marBottom w:val="0"/>
              <w:divBdr>
                <w:top w:val="none" w:sz="0" w:space="0" w:color="auto"/>
                <w:left w:val="none" w:sz="0" w:space="0" w:color="auto"/>
                <w:bottom w:val="none" w:sz="0" w:space="0" w:color="auto"/>
                <w:right w:val="none" w:sz="0" w:space="0" w:color="auto"/>
              </w:divBdr>
            </w:div>
            <w:div w:id="1411082468">
              <w:marLeft w:val="0"/>
              <w:marRight w:val="0"/>
              <w:marTop w:val="0"/>
              <w:marBottom w:val="0"/>
              <w:divBdr>
                <w:top w:val="none" w:sz="0" w:space="0" w:color="auto"/>
                <w:left w:val="none" w:sz="0" w:space="0" w:color="auto"/>
                <w:bottom w:val="none" w:sz="0" w:space="0" w:color="auto"/>
                <w:right w:val="none" w:sz="0" w:space="0" w:color="auto"/>
              </w:divBdr>
            </w:div>
            <w:div w:id="1485971332">
              <w:marLeft w:val="0"/>
              <w:marRight w:val="0"/>
              <w:marTop w:val="0"/>
              <w:marBottom w:val="0"/>
              <w:divBdr>
                <w:top w:val="none" w:sz="0" w:space="0" w:color="auto"/>
                <w:left w:val="none" w:sz="0" w:space="0" w:color="auto"/>
                <w:bottom w:val="none" w:sz="0" w:space="0" w:color="auto"/>
                <w:right w:val="none" w:sz="0" w:space="0" w:color="auto"/>
              </w:divBdr>
            </w:div>
            <w:div w:id="1605306613">
              <w:marLeft w:val="0"/>
              <w:marRight w:val="0"/>
              <w:marTop w:val="0"/>
              <w:marBottom w:val="0"/>
              <w:divBdr>
                <w:top w:val="none" w:sz="0" w:space="0" w:color="auto"/>
                <w:left w:val="none" w:sz="0" w:space="0" w:color="auto"/>
                <w:bottom w:val="none" w:sz="0" w:space="0" w:color="auto"/>
                <w:right w:val="none" w:sz="0" w:space="0" w:color="auto"/>
              </w:divBdr>
            </w:div>
            <w:div w:id="1969628006">
              <w:marLeft w:val="0"/>
              <w:marRight w:val="0"/>
              <w:marTop w:val="0"/>
              <w:marBottom w:val="0"/>
              <w:divBdr>
                <w:top w:val="none" w:sz="0" w:space="0" w:color="auto"/>
                <w:left w:val="none" w:sz="0" w:space="0" w:color="auto"/>
                <w:bottom w:val="none" w:sz="0" w:space="0" w:color="auto"/>
                <w:right w:val="none" w:sz="0" w:space="0" w:color="auto"/>
              </w:divBdr>
            </w:div>
            <w:div w:id="1994404175">
              <w:marLeft w:val="0"/>
              <w:marRight w:val="0"/>
              <w:marTop w:val="0"/>
              <w:marBottom w:val="0"/>
              <w:divBdr>
                <w:top w:val="none" w:sz="0" w:space="0" w:color="auto"/>
                <w:left w:val="none" w:sz="0" w:space="0" w:color="auto"/>
                <w:bottom w:val="none" w:sz="0" w:space="0" w:color="auto"/>
                <w:right w:val="none" w:sz="0" w:space="0" w:color="auto"/>
              </w:divBdr>
            </w:div>
            <w:div w:id="2101874980">
              <w:marLeft w:val="0"/>
              <w:marRight w:val="0"/>
              <w:marTop w:val="0"/>
              <w:marBottom w:val="0"/>
              <w:divBdr>
                <w:top w:val="none" w:sz="0" w:space="0" w:color="auto"/>
                <w:left w:val="none" w:sz="0" w:space="0" w:color="auto"/>
                <w:bottom w:val="none" w:sz="0" w:space="0" w:color="auto"/>
                <w:right w:val="none" w:sz="0" w:space="0" w:color="auto"/>
              </w:divBdr>
            </w:div>
            <w:div w:id="2119639265">
              <w:marLeft w:val="0"/>
              <w:marRight w:val="0"/>
              <w:marTop w:val="0"/>
              <w:marBottom w:val="0"/>
              <w:divBdr>
                <w:top w:val="none" w:sz="0" w:space="0" w:color="auto"/>
                <w:left w:val="none" w:sz="0" w:space="0" w:color="auto"/>
                <w:bottom w:val="none" w:sz="0" w:space="0" w:color="auto"/>
                <w:right w:val="none" w:sz="0" w:space="0" w:color="auto"/>
              </w:divBdr>
            </w:div>
            <w:div w:id="21233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13</Pages>
  <Words>4404</Words>
  <Characters>26430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OPIS ZADANIA</vt:lpstr>
    </vt:vector>
  </TitlesOfParts>
  <Company/>
  <LinksUpToDate>false</LinksUpToDate>
  <CharactersWithSpaces>30773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ZADANIA</dc:title>
  <dc:subject/>
  <dc:creator>Andrzej Adamski</dc:creator>
  <cp:keywords/>
  <dc:description/>
  <cp:lastModifiedBy>Robert Szymański</cp:lastModifiedBy>
  <cp:revision>10</cp:revision>
  <cp:lastPrinted>2014-07-31T11:56:00Z</cp:lastPrinted>
  <dcterms:created xsi:type="dcterms:W3CDTF">2017-08-02T09:51:00Z</dcterms:created>
  <dcterms:modified xsi:type="dcterms:W3CDTF">2017-10-03T11:25:00Z</dcterms:modified>
</cp:coreProperties>
</file>